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5.png" ContentType="image/png"/>
  <Override PartName="/word/media/rId248.png" ContentType="image/png"/>
  <Override PartName="/word/media/rId238.png" ContentType="image/png"/>
  <Override PartName="/word/media/rId241.png" ContentType="image/png"/>
  <Override PartName="/word/media/rId137.png" ContentType="image/png"/>
  <Override PartName="/word/media/rId157.eps" ContentType="application/eps"/>
  <Override PartName="/word/media/rId270.png" ContentType="image/png"/>
  <Override PartName="/word/media/rId70.png" ContentType="image/png"/>
  <Override PartName="/word/media/rId30.pdf" ContentType="application/pdf"/>
  <Override PartName="/word/media/rId165.png" ContentType="image/png"/>
  <Override PartName="/word/media/rId172.png" ContentType="image/png"/>
  <Override PartName="/word/media/rId65.png" ContentType="image/png"/>
  <Override PartName="/word/media/rId103.png" ContentType="image/png"/>
  <Override PartName="/word/media/rId56.png" ContentType="image/png"/>
  <Override PartName="/word/media/rId229.png" ContentType="image/png"/>
  <Override PartName="/word/media/rId168.eps" ContentType="application/eps"/>
  <Override PartName="/word/media/rId219.png" ContentType="image/png"/>
  <Override PartName="/word/media/rId36.pdf" ContentType="application/pdf"/>
  <Override PartName="/word/media/rId190.png" ContentType="image/png"/>
  <Override PartName="/word/media/rId161.eps" ContentType="application/eps"/>
  <Override PartName="/word/media/rId223.png" ContentType="image/png"/>
  <Override PartName="/word/media/rId42.png" ContentType="image/png"/>
  <Override PartName="/word/media/rId145.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November  3,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3" w:name="acknowledgements"/>
    <w:p>
      <w:pPr>
        <w:pStyle w:val="Heading1"/>
      </w:pPr>
      <w:r>
        <w:t xml:space="preserve">Acknowledgements</w:t>
      </w:r>
    </w:p>
    <w:bookmarkStart w:id="21" w:name="first-paper"/>
    <w:p>
      <w:pPr>
        <w:pStyle w:val="Heading2"/>
      </w:pPr>
      <w:r>
        <w:rPr>
          <w:rStyle w:val="SectionNumber"/>
        </w:rPr>
        <w:t xml:space="preserve">0.1</w:t>
      </w:r>
      <w:r>
        <w:tab/>
      </w: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rPr>
          <w:rStyle w:val="SectionNumber"/>
        </w:rPr>
        <w:t xml:space="preserve">0.2</w:t>
      </w:r>
      <w:r>
        <w:tab/>
      </w: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r>
        <w:t xml:space="preserve"> </w:t>
      </w:r>
    </w:p>
    <w:bookmarkEnd w:id="22"/>
    <w:bookmarkEnd w:id="23"/>
    <w:p>
      <w:pPr>
        <w:pStyle w:val="Heading1"/>
      </w:pPr>
      <w:r>
        <w:rPr>
          <w:rStyle w:val="SectionNumber"/>
        </w:rPr>
        <w:t xml:space="preserve">1</w:t>
      </w:r>
      <w:r>
        <w:tab/>
      </w:r>
      <w:r>
        <w:t xml:space="preserve">List of Figures</w:t>
      </w:r>
    </w:p>
    <w:p>
      <w:pPr>
        <w:pStyle w:val="FirstParagraph"/>
      </w:pPr>
      <w:r>
        <w:t xml:space="preserve">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(a) A trace of power system frequency with corresponding frequency</w:t>
      </w:r>
      <w:r>
        <w:t xml:space="preserve"> </w:t>
      </w:r>
      <w:r>
        <w:t xml:space="preserve">control services following a loss-of-generation contingency event. (b)</w:t>
      </w:r>
      <w:r>
        <w:t xml:space="preserve"> </w:t>
      </w:r>
      <w:r>
        <w:t xml:space="preserve">The timeframes over which the various frequency control services are</w:t>
      </w:r>
      <w:r>
        <w:t xml:space="preserve"> </w:t>
      </w:r>
      <w:r>
        <w:t xml:space="preserve">provided. Source:</w:t>
      </w:r>
      <w:r>
        <w:t xml:space="preserve"> </w:t>
      </w:r>
      <w:r>
        <w:t xml:space="preserve">(</w:t>
      </w:r>
      <w:hyperlink w:anchor="ref-AustralianEnergyMarketOperator2020l">
        <w:r>
          <w:rPr>
            <w:rStyle w:val="Hyperlink"/>
            <w:bCs/>
            <w:b/>
          </w:rPr>
          <w:t xml:space="preserve">AustralianEnergyMarketOperator2020l?</w:t>
        </w:r>
      </w:hyperlink>
      <w:r>
        <w:t xml:space="preserve">)</w:t>
      </w:r>
      <w:r>
        <w:t xml:space="preserve">.</w:t>
      </w:r>
      <w:r>
        <w:br/>
      </w:r>
    </w:p>
    <w:p>
      <w:pPr>
        <w:pStyle w:val="BodyText"/>
      </w:pPr>
      <w:r>
        <w:t xml:space="preserve">5. Behaviour of a synchronous generator with a turbine governor providing</w:t>
      </w:r>
      <w:r>
        <w:t xml:space="preserve"> </w:t>
      </w:r>
      <w:r>
        <w:t xml:space="preserve">PFC and responding to SFC.</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SFC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r>
        <w:br/>
      </w:r>
    </w:p>
    <w:p>
      <w:pPr>
        <w:pStyle w:val="BodyText"/>
      </w:pPr>
      <w:r>
        <w:t xml:space="preserve">6. Interfaces between the frequency control capability and the mechanisms</w:t>
      </w:r>
      <w:r>
        <w:t xml:space="preserve"> </w:t>
      </w:r>
      <w:r>
        <w:t xml:space="preserve">within the frequency control strategy of a power</w:t>
      </w:r>
      <w:r>
        <w:t xml:space="preserve"> </w:t>
      </w:r>
      <w:r>
        <w:t xml:space="preserve">system.</w:t>
      </w:r>
      <w:r>
        <w:br/>
      </w:r>
    </w:p>
    <w:p>
      <w:pPr>
        <w:pStyle w:val="BodyText"/>
      </w:pPr>
      <w:r>
        <w:t xml:space="preserve">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15 (a).</w:t>
      </w:r>
      <w:r>
        <w:br/>
      </w:r>
    </w:p>
    <w:p>
      <w:pPr>
        <w:pStyle w:val="BodyText"/>
      </w:pPr>
      <w:r>
        <w:t xml:space="preserve">15 (b).</w:t>
      </w:r>
      <w:r>
        <w:br/>
      </w:r>
    </w:p>
    <w:p>
      <w:pPr>
        <w:pStyle w:val="BodyText"/>
      </w:pPr>
      <w:r>
        <w:t xml:space="preserve">16. Process flow for modelling available reserves and footroom for each scenario in this case study.</w:t>
      </w:r>
      <w:r>
        <w:br/>
      </w:r>
    </w:p>
    <w:p>
      <w:pPr>
        <w:pStyle w:val="BodyText"/>
      </w:pPr>
      <w:r>
        <w:t xml:space="preserve">17. Mean (top row) and bottom 1% (bottom row) SDPs for available reserves in NSW in 2020 (leftmost column) and the two 2025 scenarios (rightmost columns).</w:t>
      </w:r>
      <w:r>
        <w:br/>
      </w:r>
    </w:p>
    <w:p>
      <w:pPr>
        <w:pStyle w:val="BodyText"/>
      </w:pPr>
      <w:r>
        <w:t xml:space="preserve">18. Mean (top row) and bottom 1% (bottom row) SDPs for available reserves in SA in 2020 (leftmost column) and the two 2025 scenarios (rightmost columns).</w:t>
      </w:r>
      <w:r>
        <w:br/>
      </w:r>
    </w:p>
    <w:p>
      <w:pPr>
        <w:pStyle w:val="BodyText"/>
      </w:pPr>
      <w:r>
        <w:t xml:space="preserve">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20.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21. Ramp rates observed (red) and used in dispatch by AEMO (blue) for a coal-fired unit in NSW in 2020. The green line denotes the ramp rate assumed by AEMO in its 2020 Inputs and Assumptions workbook and the 2020 ISP.</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bookmarkStart w:id="24" w:name="abbreviations-and-nomenclature"/>
    <w:p>
      <w:pPr>
        <w:pStyle w:val="Heading1"/>
      </w:pPr>
      <w:r>
        <w:t xml:space="preserve">Abbreviations and Nomenclature</w:t>
      </w:r>
    </w:p>
    <w:bookmarkEnd w:id="24"/>
    <w:bookmarkStart w:id="27" w:name="sec:intro"/>
    <w:p>
      <w:pPr>
        <w:pStyle w:val="Heading1"/>
      </w:pPr>
      <w:r>
        <w:rPr>
          <w:rStyle w:val="SectionNumber"/>
        </w:rPr>
        <w:t xml:space="preserve">3</w:t>
      </w:r>
      <w:r>
        <w:tab/>
      </w:r>
      <w:r>
        <w:t xml:space="preserve">Introduction, with a citation</w:t>
      </w:r>
    </w:p>
    <w:bookmarkStart w:id="25"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5"/>
    <w:bookmarkStart w:id="26"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4 is the FCAS paper. Section </w:t>
      </w:r>
      <w:r>
        <w:rPr>
          <w:bCs/>
          <w:b/>
        </w:rPr>
        <w:t xml:space="preserve">¿sec:second?</w:t>
      </w:r>
      <w:r>
        <w:t xml:space="preserve"> </w:t>
      </w:r>
      <w:r>
        <w:t xml:space="preserve">shows how to use, reference, and resize pdf and jpg figures. Section 5 shows how to use and reference tables. Section 6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6"/>
    <w:bookmarkEnd w:id="27"/>
    <w:bookmarkStart w:id="121" w:name="sec:lit_review"/>
    <w:p>
      <w:pPr>
        <w:pStyle w:val="Heading1"/>
      </w:pPr>
      <w:r>
        <w:rPr>
          <w:rStyle w:val="SectionNumber"/>
        </w:rPr>
        <w:t xml:space="preserve">4</w:t>
      </w:r>
      <w:r>
        <w:tab/>
      </w:r>
      <w:r>
        <w:t xml:space="preserve">Literature review</w:t>
      </w:r>
    </w:p>
    <w:bookmarkStart w:id="28" w:name="introduction"/>
    <w:p>
      <w:pPr>
        <w:pStyle w:val="Heading2"/>
      </w:pPr>
      <w:r>
        <w:rPr>
          <w:rStyle w:val="SectionNumber"/>
        </w:rPr>
        <w:t xml:space="preserve">4.1</w:t>
      </w:r>
      <w:r>
        <w:tab/>
      </w:r>
      <w:r>
        <w:t xml:space="preserve">Introduction</w:t>
      </w:r>
    </w:p>
    <w:bookmarkEnd w:id="28"/>
    <w:bookmarkStart w:id="29" w:name="outline-of-literature-review"/>
    <w:p>
      <w:pPr>
        <w:pStyle w:val="Heading2"/>
      </w:pPr>
      <w:r>
        <w:rPr>
          <w:rStyle w:val="SectionNumber"/>
        </w:rPr>
        <w:t xml:space="preserve">4.2</w:t>
      </w:r>
      <w:r>
        <w:tab/>
      </w:r>
      <w:r>
        <w:t xml:space="preserve">Outline of literature review</w:t>
      </w:r>
    </w:p>
    <w:bookmarkEnd w:id="29"/>
    <w:bookmarkStart w:id="34" w:name="sec:lit_review-power_systems"/>
    <w:p>
      <w:pPr>
        <w:pStyle w:val="Heading2"/>
      </w:pPr>
      <w:r>
        <w:rPr>
          <w:rStyle w:val="SectionNumber"/>
        </w:rPr>
        <w:t xml:space="preserve">4.3</w:t>
      </w:r>
      <w:r>
        <w:tab/>
      </w:r>
      <w:r>
        <w:t xml:space="preserve">Power systems</w:t>
      </w:r>
    </w:p>
    <w:p>
      <w:pPr>
        <w:pStyle w:val="FirstParagraph"/>
      </w:pPr>
      <w:r>
        <w:t xml:space="preserve">Given the welfare and economic benefits associated with electricity access, many 20</w:t>
      </w:r>
      <w:r>
        <w:rPr>
          <w:vertAlign w:val="superscript"/>
        </w:rPr>
        <w:t xml:space="preserve">th</w:t>
      </w:r>
      <w:r>
        <w:t xml:space="preserve"> </w:t>
      </w:r>
      <w:r>
        <w:t xml:space="preserve">century states constructed bulk</w:t>
      </w:r>
      <w:r>
        <w:t xml:space="preserve"> </w:t>
      </w:r>
      <w:r>
        <w:rPr>
          <w:iCs/>
          <w:i/>
        </w:rPr>
        <w:t xml:space="preserve">power systems</w:t>
      </w:r>
      <w:r>
        <w:t xml:space="preserve"> </w:t>
      </w:r>
      <w:r>
        <w:t xml:space="preserve">to leverage investment &amp; operational economies of scale. These systems sought to efficiently deliver</w:t>
      </w:r>
      <w:r>
        <w:t xml:space="preserve"> </w:t>
      </w:r>
      <w:r>
        <w:rPr>
          <w:iCs/>
          <w:i/>
        </w:rPr>
        <w:t xml:space="preserve">active power</w:t>
      </w:r>
      <w:r>
        <w:t xml:space="preserve"> </w:t>
      </w:r>
      <w:r>
        <w:t xml:space="preserve">(i.e. power that does work) to numerous electricity end-users (</w:t>
      </w:r>
      <w:r>
        <w:rPr>
          <w:iCs/>
          <w:i/>
        </w:rPr>
        <w:t xml:space="preserve">demand</w:t>
      </w:r>
      <w:r>
        <w:t xml:space="preserve"> </w:t>
      </w:r>
      <w:r>
        <w:t xml:space="preserve">or</w:t>
      </w:r>
      <w:r>
        <w:t xml:space="preserve"> </w:t>
      </w:r>
      <w:r>
        <w:rPr>
          <w:iCs/>
          <w:i/>
        </w:rPr>
        <w:t xml:space="preserve">loads</w:t>
      </w:r>
      <w:r>
        <w:t xml:space="preserve">) from electricity suppliers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if they are</w:t>
      </w:r>
      <w:r>
        <w:t xml:space="preserve"> </w:t>
      </w:r>
      <w:r>
        <w:rPr>
          <w:iCs/>
          <w:i/>
        </w:rPr>
        <w:t xml:space="preserve">inverter-based resources</w:t>
      </w:r>
      <w:r>
        <w:t xml:space="preserve"> </w:t>
      </w:r>
      <w:r>
        <w:t xml:space="preserve">(IBRs), through a power electronic</w:t>
      </w:r>
      <w:r>
        <w:t xml:space="preserve"> </w:t>
      </w:r>
      <w:r>
        <w:rPr>
          <w:iCs/>
          <w:i/>
        </w:rPr>
        <w:t xml:space="preserve">inverter</w:t>
      </w:r>
      <w:r>
        <w:t xml:space="preserve"> </w:t>
      </w:r>
      <w:r>
        <w:t xml:space="preserve">interface that converts the direct current (DC) power produced by the generator to AC power.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houses and businesses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Conventional bulk power system, including generation, transmission, distribution and industrial, commercial and residential end-users (loads). Source: Australian Energy Market Operator (2023)." title="" id="31" name="Picture"/>
            <a:graphic>
              <a:graphicData uri="http://schemas.openxmlformats.org/drawingml/2006/picture">
                <pic:pic>
                  <pic:nvPicPr>
                    <pic:cNvPr descr="source/figures/electricity_supply_chain.pdf" id="32" name="Picture"/>
                    <pic:cNvPicPr>
                      <a:picLocks noChangeArrowheads="1" noChangeAspect="1"/>
                    </pic:cNvPicPr>
                  </pic:nvPicPr>
                  <pic:blipFill>
                    <a:blip r:embed="rId30"/>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w:t>
        </w:r>
      </w:hyperlink>
      <w:r>
        <w:t xml:space="preserve">)</w:t>
      </w:r>
      <w:r>
        <w:t xml:space="preserve">.</w:t>
      </w:r>
    </w:p>
    <w:bookmarkStart w:id="33" w:name="synchronous-and-control-areas"/>
    <w:p>
      <w:pPr>
        <w:pStyle w:val="Heading3"/>
      </w:pPr>
      <w:r>
        <w:rPr>
          <w:rStyle w:val="SectionNumber"/>
        </w:rPr>
        <w:t xml:space="preserve">4.3.1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stable operation, AC frequency should be close to the system’s nominal value and more-or-less uniform across the synchronous area (see Section 2.4.2.1). A</w:t>
      </w:r>
      <w:r>
        <w:t xml:space="preserve"> </w:t>
      </w:r>
      <w:r>
        <w:rPr>
          <w:iCs/>
          <w:i/>
        </w:rPr>
        <w:t xml:space="preserve">control area</w:t>
      </w:r>
      <w:r>
        <w:t xml:space="preserve">, on the other hand, is a network area in which a particular</w:t>
      </w:r>
      <w:r>
        <w:t xml:space="preserve"> </w:t>
      </w:r>
      <w:r>
        <w:rPr>
          <w:iCs/>
          <w:i/>
        </w:rPr>
        <w:t xml:space="preserve">system operator</w:t>
      </w:r>
      <w:r>
        <w:t xml:space="preserve"> </w:t>
      </w:r>
      <w:r>
        <w:t xml:space="preserve">(SO) is responsible for operating the power system. Whether the term</w:t>
      </w:r>
      <w:r>
        <w:t xml:space="preserve"> </w:t>
      </w:r>
      <w:r>
        <w:t xml:space="preserve">“</w:t>
      </w:r>
      <w:r>
        <w:t xml:space="preserve">power system</w:t>
      </w:r>
      <w:r>
        <w:t xml:space="preserve">”</w:t>
      </w:r>
      <w:r>
        <w:t xml:space="preserve"> </w:t>
      </w:r>
      <w:r>
        <w:t xml:space="preserve">refers to a synchronous area or a control area is often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p>
    <w:bookmarkEnd w:id="33"/>
    <w:bookmarkEnd w:id="34"/>
    <w:bookmarkStart w:id="63" w:name="power-system-operations"/>
    <w:p>
      <w:pPr>
        <w:pStyle w:val="Heading2"/>
      </w:pPr>
      <w:r>
        <w:rPr>
          <w:rStyle w:val="SectionNumber"/>
        </w:rPr>
        <w:t xml:space="preserve">4.4</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inseparable from the economic objective imposed upon SOs: minimise system costs (or under some market paradigms described in Section 2.4.3,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stable</w:t>
      </w:r>
      <w:r>
        <w:t xml:space="preserve"> </w:t>
      </w:r>
      <w:r>
        <w:t xml:space="preserve">&amp;</w:t>
      </w:r>
      <w:r>
        <w:t xml:space="preserve"> </w:t>
      </w:r>
      <w:r>
        <w:rPr>
          <w:iCs/>
          <w:i/>
        </w:rPr>
        <w:t xml:space="preserve">secure</w:t>
      </w:r>
      <w:r>
        <w:t xml:space="preserve"> </w:t>
      </w:r>
      <w:r>
        <w:t xml:space="preserve">operation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5"/>
      </w:r>
      <w:r>
        <w:t xml:space="preserve">. Maintaining a stable, secure and reliable power system is vital; restarting the system after failure (</w:t>
      </w:r>
      <w:r>
        <w:rPr>
          <w:iCs/>
          <w:i/>
        </w:rPr>
        <w:t xml:space="preserve">system restoration</w:t>
      </w:r>
      <w:r>
        <w:t xml:space="preserve">) is a long &amp; complex procedure, and power outages (</w:t>
      </w:r>
      <w:r>
        <w:rPr>
          <w:iCs/>
          <w:i/>
        </w:rPr>
        <w:t xml:space="preserve">blackouts</w:t>
      </w:r>
      <w:r>
        <w:t xml:space="preserve">), whether they be localised or across a wider area, can have devastating social &amp;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Noting that planning &amp; investment have a large bearing on the manner in which a power system is operated (and vice versa), Figure 2 presents a high-level overview of power system phenomena and processes, services &amp; markets that are most pertinent to active power balancing in operational timeframes, with those discussed in detail within this thesis highlighted in bold red text.</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 Machowski et al. (2020), Hatziargyriou et al. (2021) and Matevosyan et al. (2021). The figure concept and layout was inspired by a similar figure presented in Wilson (2020)." title="" id="37" name="Picture"/>
            <a:graphic>
              <a:graphicData uri="http://schemas.openxmlformats.org/drawingml/2006/picture">
                <pic:pic>
                  <pic:nvPicPr>
                    <pic:cNvPr descr="source/figures/power_system_timeframes.pdf" id="38"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39" w:name="phenomena-in-operational-timeframes"/>
    <w:p>
      <w:pPr>
        <w:pStyle w:val="Heading3"/>
      </w:pPr>
      <w:r>
        <w:rPr>
          <w:rStyle w:val="SectionNumber"/>
        </w:rPr>
        <w:t xml:space="preserve">4.4.1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motors and generators.</w:t>
      </w:r>
    </w:p>
    <w:p>
      <w:pPr>
        <w:numPr>
          <w:ilvl w:val="0"/>
          <w:numId w:val="1002"/>
        </w:numPr>
      </w:pPr>
      <w:r>
        <w:rPr>
          <w:iCs/>
          <w:i/>
        </w:rPr>
        <w:t xml:space="preserve">Thermodynamic</w:t>
      </w:r>
      <w:r>
        <w:t xml:space="preserve"> </w:t>
      </w:r>
      <w:r>
        <w:t xml:space="preserve">phenomena are slower still. They encompass chemical fuel conversion &amp; heat transfer processes in boilers. These phenomena occur over multiple timeframes, from seconds to minutes to hours. The dynamics of the primary energy sources for hydroelectricity and</w:t>
      </w:r>
      <w:r>
        <w:t xml:space="preserve"> </w:t>
      </w:r>
      <w:r>
        <w:rPr>
          <w:iCs/>
          <w:i/>
        </w:rPr>
        <w:t xml:space="preserve">variable renewable energy</w:t>
      </w:r>
      <w:r>
        <w:t xml:space="preserve"> </w:t>
      </w:r>
      <w:r>
        <w:t xml:space="preserve">(VRE), which primarily refers to wind and solar</w:t>
      </w:r>
      <w:r>
        <w:t xml:space="preserve"> </w:t>
      </w:r>
      <w:r>
        <w:rPr>
          <w:iCs/>
          <w:i/>
        </w:rPr>
        <w:t xml:space="preserve">photovoltaic</w:t>
      </w:r>
      <w:r>
        <w:t xml:space="preserve"> </w:t>
      </w:r>
      <w:r>
        <w:t xml:space="preserve">(PV) generation, are also relevant in these timeframes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39"/>
    <w:bookmarkStart w:id="52" w:name="sec:lit_review-balancing"/>
    <w:p>
      <w:pPr>
        <w:pStyle w:val="Heading3"/>
      </w:pPr>
      <w:r>
        <w:rPr>
          <w:rStyle w:val="SectionNumber"/>
        </w:rPr>
        <w:t xml:space="preserve">4.4.2</w:t>
      </w:r>
      <w:r>
        <w:tab/>
      </w:r>
      <w:r>
        <w:t xml:space="preserve">Active power balancing</w:t>
      </w:r>
    </w:p>
    <w:p>
      <w:pPr>
        <w:pStyle w:val="FirstParagraph"/>
      </w:pPr>
      <w:r>
        <w:t xml:space="preserve">In theory,</w:t>
      </w:r>
      <w:r>
        <w:t xml:space="preserve"> </w:t>
      </w:r>
      <w:r>
        <w:rPr>
          <w:iCs/>
          <w:i/>
        </w:rPr>
        <w:t xml:space="preserve">active power balancing</w:t>
      </w:r>
      <w:r>
        <w:t xml:space="preserve"> </w:t>
      </w:r>
      <w:r>
        <w:t xml:space="preserve">is simply a consequence of the law of conservation of energy: the energy supplied through primary energy conversion or by energy storage into a network node is equal to the sum of the energy dissipated, stored and consumed at the same network node at each and every moment. In practice, however, it involves the</w:t>
      </w:r>
      <w:r>
        <w:t xml:space="preserve"> </w:t>
      </w:r>
      <w:r>
        <w:rPr>
          <w:iCs/>
          <w:i/>
          <w:bCs/>
          <w:b/>
        </w:rPr>
        <w:t xml:space="preserve">moment-to-moment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Moment-to-moment</w:t>
      </w:r>
      <w:r>
        <w:t xml:space="preserve"> </w:t>
      </w:r>
      <w:r>
        <w:t xml:space="preserve">(i.e. real-time) control of supply &amp; demand is required because it is still uneconomical in many jurisdictions to store electricity at scale (i.e. in the same order of magnitude as generation and demand)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Furthermore, though electricity can be transported close to the speed of light across the network, balancing requires at least a degree of coordination</w:t>
      </w:r>
      <w:r>
        <w:t xml:space="preserve"> </w:t>
      </w:r>
      <w:r>
        <w:rPr>
          <w:iCs/>
          <w:i/>
        </w:rPr>
        <w:t xml:space="preserve">across the power system</w:t>
      </w:r>
      <w:r>
        <w:t xml:space="preserve"> </w:t>
      </w:r>
      <w:r>
        <w:t xml:space="preserve">because of transmission losses and various network constraints imposed by line thermal limits, stability requirements &amp;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8" w:name="sec:lit_review-need_for_balancing"/>
    <w:p>
      <w:pPr>
        <w:pStyle w:val="Heading4"/>
      </w:pPr>
      <w:r>
        <w:rPr>
          <w:rStyle w:val="SectionNumber"/>
        </w:rPr>
        <w:t xml:space="preserve">4.4.2.1</w:t>
      </w:r>
      <w:r>
        <w:tab/>
      </w:r>
      <w:r>
        <w:t xml:space="preserve">Why is balancing required?</w:t>
      </w:r>
    </w:p>
    <w:p>
      <w:pPr>
        <w:pStyle w:val="FirstParagraph"/>
      </w:pPr>
      <w:r>
        <w:t xml:space="preserve">Unlike the transportation networks of many other commodities, an imbalance between active power supply &amp; demand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46" w:name="X0c4939f57ca57377f8d45e14156f746a44ac013"/>
    <w:p>
      <w:pPr>
        <w:pStyle w:val="Heading5"/>
      </w:pPr>
      <w:r>
        <w:rPr>
          <w:rStyle w:val="SectionNumber"/>
        </w:rPr>
        <w:t xml:space="preserve">4.4.2.1.1</w:t>
      </w:r>
      <w:r>
        <w:tab/>
      </w:r>
      <w:r>
        <w:t xml:space="preserve">The relationship between active power balance &amp; AC frequency</w:t>
      </w:r>
    </w:p>
    <w:p>
      <w:pPr>
        <w:pStyle w:val="FirstParagraph"/>
      </w:pPr>
      <w:r>
        <w:t xml:space="preserve">The presence of synchronous machines in most power systems means that system active power balance is closely tied to the system’s AC frequency. During steady state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nominal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0"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0"/>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balance and synchronous speed/system frequency can be elucidated by examining synchronous machine dynamics. In a synchronous generator (coal-fired, gas-fired and hydro generators), the interaction between the interacting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1"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1"/>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of the rotor and stator magnetic fields. Source: Rebours (2009)" title="" id="43" name="Picture"/>
            <a:graphic>
              <a:graphicData uri="http://schemas.openxmlformats.org/drawingml/2006/picture">
                <pic:pic>
                  <pic:nvPicPr>
                    <pic:cNvPr descr="source/figures/swing.png" id="44" name="Picture"/>
                    <pic:cNvPicPr>
                      <a:picLocks noChangeArrowheads="1" noChangeAspect="1"/>
                    </pic:cNvPicPr>
                  </pic:nvPicPr>
                  <pic:blipFill>
                    <a:blip r:embed="rId42"/>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and not the</w:t>
      </w:r>
      <w:r>
        <w:t xml:space="preserve"> </w:t>
      </w:r>
      <w:r>
        <w:rPr>
          <w:iCs/>
          <w:i/>
        </w:rPr>
        <w:t xml:space="preserve">load damping</w:t>
      </w:r>
      <w:r>
        <w:t xml:space="preserve"> </w:t>
      </w:r>
      <w:r>
        <w:t xml:space="preserve">response offered by (frequency-dependent) induction motor loads. Generation inertial response typically plays a large role in electromechanical system dynamics as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5"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5"/>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system’s total power supply and total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6"/>
    <w:bookmarkStart w:id="47" w:name="the-consequences-of-frequency-deviations"/>
    <w:p>
      <w:pPr>
        <w:pStyle w:val="Heading5"/>
      </w:pPr>
      <w:r>
        <w:rPr>
          <w:rStyle w:val="SectionNumber"/>
        </w:rPr>
        <w:t xml:space="preserve">4.4.2.1.2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the collapse of the entire power system. As such, SOs often employ emergency frequency control schemes that trip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 as a last line of defence against frequency-driven system collapse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w:t>
      </w:r>
    </w:p>
    <w:bookmarkEnd w:id="47"/>
    <w:bookmarkEnd w:id="48"/>
    <w:bookmarkStart w:id="51" w:name="threats-to-active-power-balance"/>
    <w:p>
      <w:pPr>
        <w:pStyle w:val="Heading4"/>
      </w:pPr>
      <w:r>
        <w:rPr>
          <w:rStyle w:val="SectionNumber"/>
        </w:rPr>
        <w:t xml:space="preserve">4.4.2.2</w:t>
      </w:r>
      <w:r>
        <w:tab/>
      </w:r>
      <w:r>
        <w:t xml:space="preserve">Threats to active power balance</w:t>
      </w:r>
    </w:p>
    <w:p>
      <w:pPr>
        <w:pStyle w:val="FirstParagraph"/>
      </w:pPr>
      <w:r>
        <w:t xml:space="preserve">Threats to active power balance can be broadly categorised as either power system</w:t>
      </w:r>
      <w:r>
        <w:t xml:space="preserve"> </w:t>
      </w:r>
      <w:r>
        <w:rPr>
          <w:iCs/>
          <w:i/>
        </w:rPr>
        <w:t xml:space="preserve">variability</w:t>
      </w:r>
      <w:r>
        <w:t xml:space="preserve"> </w:t>
      </w:r>
      <w:r>
        <w:t xml:space="preserve">or power system</w:t>
      </w:r>
      <w:r>
        <w:t xml:space="preserve"> </w:t>
      </w:r>
      <w:r>
        <w:rPr>
          <w:iCs/>
          <w:i/>
        </w:rPr>
        <w:t xml:space="preserve">uncertainty</w:t>
      </w:r>
      <w:r>
        <w:t xml:space="preserve">.</w:t>
      </w:r>
    </w:p>
    <w:bookmarkStart w:id="49" w:name="power-system-variability"/>
    <w:p>
      <w:pPr>
        <w:pStyle w:val="Heading5"/>
      </w:pPr>
      <w:r>
        <w:rPr>
          <w:rStyle w:val="SectionNumber"/>
        </w:rPr>
        <w:t xml:space="preserve">4.4.2.2.1</w:t>
      </w:r>
      <w:r>
        <w:tab/>
      </w:r>
      <w:r>
        <w:t xml:space="preserve">Power system variability</w:t>
      </w:r>
    </w:p>
    <w:p>
      <w:pPr>
        <w:pStyle w:val="FirstParagraph"/>
      </w:pPr>
      <w:r>
        <w:t xml:space="preserve">Power system variability refers to</w:t>
      </w:r>
      <w:r>
        <w:t xml:space="preserve"> </w:t>
      </w:r>
      <w:r>
        <w:rPr>
          <w:bCs/>
          <w:b/>
        </w:rPr>
        <w:t xml:space="preserve">expected</w:t>
      </w:r>
      <w:r>
        <w:t xml:space="preserve"> </w:t>
      </w:r>
      <w:r>
        <w:t xml:space="preserve">or forecasted changes to active power supply and/or demand. Sources of variability include fluctuations in load, oscillatory active power output from synchronous generators, ramping solar PV generation during sunrise &amp; sunset and ramping wind generation as wind speeds change</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49"/>
    <w:bookmarkStart w:id="50" w:name="power-system-uncertainty"/>
    <w:p>
      <w:pPr>
        <w:pStyle w:val="Heading5"/>
      </w:pPr>
      <w:r>
        <w:rPr>
          <w:rStyle w:val="SectionNumber"/>
        </w:rPr>
        <w:t xml:space="preserve">4.4.2.2.2</w:t>
      </w:r>
      <w:r>
        <w:tab/>
      </w:r>
      <w:r>
        <w:t xml:space="preserve">Power system uncertainty</w:t>
      </w:r>
    </w:p>
    <w:p>
      <w:pPr>
        <w:pStyle w:val="FirstParagraph"/>
      </w:pPr>
      <w:r>
        <w:t xml:space="preserve">Power system uncertainty refers to</w:t>
      </w:r>
      <w:r>
        <w:t xml:space="preserve"> </w:t>
      </w:r>
      <w:r>
        <w:rPr>
          <w:bCs/>
          <w:b/>
        </w:rPr>
        <w:t xml:space="preserve">unexpected</w:t>
      </w:r>
      <w:r>
        <w:t xml:space="preserve"> </w:t>
      </w:r>
      <w:r>
        <w:t xml:space="preserve">changes to active power supply and/or demand. These include demand and VRE generation forecast errors (so-called</w:t>
      </w:r>
      <w:r>
        <w:t xml:space="preserve"> </w:t>
      </w:r>
      <w:r>
        <w:t xml:space="preserve">“</w:t>
      </w:r>
      <w:r>
        <w:t xml:space="preserve">known unknowns</w:t>
      </w:r>
      <w:r>
        <w:t xml:space="preserve">”</w:t>
      </w:r>
      <w:r>
        <w:t xml:space="preserve">), and singular or widespread outage events (</w:t>
      </w:r>
      <w:r>
        <w:t xml:space="preserve">“</w:t>
      </w:r>
      <w:r>
        <w:t xml:space="preserve">unknown unknowns</w:t>
      </w:r>
      <w:r>
        <w:t xml:space="preserve">”</w:t>
      </w:r>
      <w:r>
        <w:t xml:space="preserve">) triggered by the weather or unexpected system responses &amp; interactions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End w:id="51"/>
    <w:bookmarkEnd w:id="52"/>
    <w:bookmarkStart w:id="62" w:name="sec:lit_review-operational_paradigms"/>
    <w:p>
      <w:pPr>
        <w:pStyle w:val="Heading3"/>
      </w:pPr>
      <w:r>
        <w:rPr>
          <w:rStyle w:val="SectionNumber"/>
        </w:rPr>
        <w:t xml:space="preserve">4.4.3</w:t>
      </w:r>
      <w:r>
        <w:tab/>
      </w:r>
      <w:r>
        <w:t xml:space="preserve">Operational paradigms</w:t>
      </w:r>
    </w:p>
    <w:p>
      <w:pPr>
        <w:pStyle w:val="FirstParagraph"/>
      </w:pPr>
      <w:r>
        <w:t xml:space="preserve">Given the need for at least some degree of balancing coordination in a power system (Section 2.4.2), SOs, which are a feature of all control area jurisdictions, have ultimate responsibility in ensuring that the area is operated in a stable, secure and reliable manner</w:t>
      </w:r>
      <w:r>
        <w:t xml:space="preserve"> </w:t>
      </w:r>
      <w:r>
        <w:t xml:space="preserve">(</w:t>
      </w:r>
      <w:hyperlink w:anchor="ref-roquesMarketDesignGeneration2008">
        <w:r>
          <w:rPr>
            <w:rStyle w:val="Hyperlink"/>
          </w:rPr>
          <w:t xml:space="preserve">Roques, 2008</w:t>
        </w:r>
      </w:hyperlink>
      <w:r>
        <w:t xml:space="preserve">)</w:t>
      </w:r>
      <w:r>
        <w:t xml:space="preserve">. However, though the powers, responsibilities and degree of ring-fencing imposed upon the SO vary from jurisdiction to jurisdiction, these characteristics are first &amp; foremost governed by the control area’s</w:t>
      </w:r>
      <w:r>
        <w:t xml:space="preserve"> </w:t>
      </w:r>
      <w:r>
        <w:rPr>
          <w:iCs/>
          <w:i/>
        </w:rPr>
        <w:t xml:space="preserve">operational paradigm</w:t>
      </w:r>
      <w:r>
        <w:t xml:space="preserve"> </w:t>
      </w:r>
      <w:r>
        <w:t xml:space="preserve">(</w:t>
      </w:r>
      <w:hyperlink w:anchor="ref-chawlaGlobalTrendsElectricity2013">
        <w:r>
          <w:rPr>
            <w:rStyle w:val="Hyperlink"/>
          </w:rPr>
          <w:t xml:space="preserve">Chawla and Pollitt, 2013</w:t>
        </w:r>
      </w:hyperlink>
      <w:r>
        <w:t xml:space="preserve">)</w:t>
      </w:r>
      <w:r>
        <w:t xml:space="preserve">. Below, we discuss the two types of operational paradigms: where the SO is a</w:t>
      </w:r>
      <w:r>
        <w:t xml:space="preserve"> </w:t>
      </w:r>
      <w:r>
        <w:rPr>
          <w:iCs/>
          <w:i/>
        </w:rPr>
        <w:t xml:space="preserve">vertically-integrated utility</w:t>
      </w:r>
      <w:r>
        <w:t xml:space="preserve">, and where the SO is, at the very least, responsible for operating a transmission system that forms the physical basis of a</w:t>
      </w:r>
      <w:r>
        <w:t xml:space="preserve"> </w:t>
      </w:r>
      <w:r>
        <w:rPr>
          <w:iCs/>
          <w:i/>
        </w:rPr>
        <w:t xml:space="preserve">wholesale electricity market</w:t>
      </w:r>
      <w:r>
        <w:t xml:space="preserve">.</w:t>
      </w:r>
    </w:p>
    <w:bookmarkStart w:id="53" w:name="vertically-integrated-utility"/>
    <w:p>
      <w:pPr>
        <w:pStyle w:val="Heading4"/>
      </w:pPr>
      <w:r>
        <w:rPr>
          <w:rStyle w:val="SectionNumber"/>
        </w:rPr>
        <w:t xml:space="preserve">4.4.3.1</w:t>
      </w:r>
      <w:r>
        <w:tab/>
      </w:r>
      <w:r>
        <w:t xml:space="preserve">Vertically-integrated utility</w:t>
      </w:r>
    </w:p>
    <w:p>
      <w:pPr>
        <w:pStyle w:val="FirstParagraph"/>
      </w:pPr>
      <w:r>
        <w:t xml:space="preserve">Under this paradigm, a single company (either state-owned or privately-owned but regulated) owns, operates &amp; invests in generation, transmission &amp; distribution infrastructure, as well as being responsible for the retail of electricity to the end-user. This was the sole operational paradigm prior to the 1980s. Having a single owner and operator of power system resources reduces complexity, eliminates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These benefits are accentuated by sustained load growth, which advanced economies experienced in the 20</w:t>
      </w:r>
      <w:r>
        <w:rPr>
          <w:vertAlign w:val="superscript"/>
        </w:rPr>
        <w:t xml:space="preserve">th</w:t>
      </w:r>
      <w:r>
        <w:t xml:space="preserve"> </w:t>
      </w:r>
      <w:r>
        <w:t xml:space="preserve">century and many emerging economies are still experiencing, from increasing access to electricity, industrialisation and electrification</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3"/>
    <w:bookmarkStart w:id="61" w:name="wholesale-electricity-markets"/>
    <w:p>
      <w:pPr>
        <w:pStyle w:val="Heading4"/>
      </w:pPr>
      <w:r>
        <w:rPr>
          <w:rStyle w:val="SectionNumber"/>
        </w:rPr>
        <w:t xml:space="preserve">4.4.3.2</w:t>
      </w:r>
      <w:r>
        <w:tab/>
      </w:r>
      <w:r>
        <w:t xml:space="preserve">Wholesale electricity markets</w:t>
      </w:r>
    </w:p>
    <w:p>
      <w:pPr>
        <w:pStyle w:val="FirstParagraph"/>
      </w:pPr>
      <w:r>
        <w:t xml:space="preserve">Beginning in the late 1980s, some jurisdictions opted to</w:t>
      </w:r>
      <w:r>
        <w:t xml:space="preserve"> </w:t>
      </w:r>
      <w:r>
        <w:rPr>
          <w:iCs/>
          <w:i/>
        </w:rPr>
        <w:t xml:space="preserve">restructure</w:t>
      </w:r>
      <w:r>
        <w:t xml:space="preserve"> </w:t>
      </w:r>
      <w:r>
        <w:t xml:space="preserve">their electricity sector. To varying degrees across different jurisdictions, the impetus for restructuring was the result of advancements in small low-upfront cost gas turbine technologies, the promise of consumer choice, perceptions that vertically-integrated utilities were inefficient &amp; politicised, and a political zeitgeist prevalent at the time that pursued economic efficiency through privatisation &amp;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w:t>
      </w:r>
      <w:r>
        <w:t xml:space="preserve"> </w:t>
      </w:r>
      <w:r>
        <w:rPr>
          <w:iCs/>
          <w:i/>
        </w:rPr>
        <w:t xml:space="preserve">unbundling</w:t>
      </w:r>
      <w:r>
        <w:t xml:space="preserve"> </w:t>
      </w:r>
      <w:r>
        <w:t xml:space="preserve">of vertically-integrated utilities and the introduction of competition for wholesale supply (and in some cases, demand) via an</w:t>
      </w:r>
      <w:r>
        <w:t xml:space="preserve"> </w:t>
      </w:r>
      <w:r>
        <w:rPr>
          <w:iCs/>
          <w:i/>
        </w:rPr>
        <w:t xml:space="preserve">electricity market</w:t>
      </w:r>
      <w:r>
        <w:t xml:space="preserve">.</w:t>
      </w:r>
    </w:p>
    <w:bookmarkStart w:id="54" w:name="unbundling"/>
    <w:p>
      <w:pPr>
        <w:pStyle w:val="Heading5"/>
      </w:pPr>
      <w:r>
        <w:rPr>
          <w:rStyle w:val="SectionNumber"/>
        </w:rPr>
        <w:t xml:space="preserve">4.4.3.2.1</w:t>
      </w:r>
      <w:r>
        <w:tab/>
      </w:r>
      <w:r>
        <w:t xml:space="preserve">Unbundling</w:t>
      </w:r>
    </w:p>
    <w:p>
      <w:pPr>
        <w:pStyle w:val="FirstParagraph"/>
      </w:pPr>
      <w:r>
        <w:t xml:space="preserve">At the very least, the unbundling of a vertically-integrated utility divided generation ownership and created the SO, which was made responsible for the secure &amp; reliable operation of the transmission network and often barred from owning generation assets. In some jurisdictions, SOs were given ownership of the transmission network (e.g. Transmission System Operators, or</w:t>
      </w:r>
      <w:r>
        <w:t xml:space="preserve"> </w:t>
      </w:r>
      <w:r>
        <w:rPr>
          <w:iCs/>
          <w:i/>
        </w:rPr>
        <w:t xml:space="preserve">TSOs</w:t>
      </w:r>
      <w:r>
        <w:t xml:space="preserve">, in many European control areas) whereas others made their SOs</w:t>
      </w:r>
      <w:r>
        <w:t xml:space="preserve"> </w:t>
      </w:r>
      <w:r>
        <w:t xml:space="preserve">“</w:t>
      </w:r>
      <w:r>
        <w:t xml:space="preserve">independent</w:t>
      </w:r>
      <w:r>
        <w:t xml:space="preserve">”</w:t>
      </w:r>
      <w:r>
        <w:t xml:space="preserve"> </w:t>
      </w:r>
      <w:r>
        <w:t xml:space="preserve">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4"/>
    <w:bookmarkStart w:id="59" w:name="market-models"/>
    <w:p>
      <w:pPr>
        <w:pStyle w:val="Heading5"/>
      </w:pPr>
      <w:r>
        <w:rPr>
          <w:rStyle w:val="SectionNumber"/>
        </w:rPr>
        <w:t xml:space="preserve">4.4.3.2.2</w:t>
      </w:r>
      <w:r>
        <w:tab/>
      </w:r>
      <w:r>
        <w:t xml:space="preserve">Market models</w:t>
      </w:r>
    </w:p>
    <w:p>
      <w:pPr>
        <w:pStyle w:val="FirstParagraph"/>
      </w:pPr>
      <w:r>
        <w:t xml:space="preserve">Much like unbundling, the design and implementation of wholesale electricity markets (an auction-based mechanism for the sale and/or purchase of electricity) differed across jurisdictions engaged in restructuring. Despite these differences, electricity markets worldwide can broadly be categorised into two markets models</w:t>
      </w:r>
      <w:r>
        <w:rPr>
          <w:rStyle w:val="FootnoteReference"/>
        </w:rPr>
        <w:footnoteReference w:id="55"/>
      </w:r>
      <w:r>
        <w:t xml:space="preserve"> </w:t>
      </w:r>
      <w:r>
        <w:t xml:space="preserve">that are distinguished by the degree of centralisation of system &amp;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3"/>
        </w:numPr>
      </w:pPr>
      <w:r>
        <w:rPr>
          <w:iCs/>
          <w:i/>
        </w:rPr>
        <w:t xml:space="preserve">Central dispatch</w:t>
      </w:r>
      <w:r>
        <w:t xml:space="preserve"> </w:t>
      </w:r>
      <w:r>
        <w:t xml:space="preserve">markets, where decisions regarding</w:t>
      </w:r>
      <w:r>
        <w:t xml:space="preserve"> </w:t>
      </w:r>
      <w:r>
        <w:rPr>
          <w:iCs/>
          <w:i/>
        </w:rPr>
        <w:t xml:space="preserve">dispatch</w:t>
      </w:r>
      <w:r>
        <w:t xml:space="preserve"> </w:t>
      </w:r>
      <w:r>
        <w:t xml:space="preserve">(real-time production or consumption targets) and, in some cases,</w:t>
      </w:r>
      <w:r>
        <w:t xml:space="preserve"> </w:t>
      </w:r>
      <w:r>
        <w:rPr>
          <w:iCs/>
          <w:i/>
        </w:rPr>
        <w:t xml:space="preserve">unit commitment</w:t>
      </w:r>
      <w:r>
        <w:t xml:space="preserve"> </w:t>
      </w:r>
      <w:r>
        <w:t xml:space="preserve">(i.e. whether a resource should be online or offline) are made by the SO. System &amp; market operations are often</w:t>
      </w:r>
      <w:r>
        <w:t xml:space="preserve"> </w:t>
      </w:r>
      <w:r>
        <w:rPr>
          <w:iCs/>
          <w:i/>
        </w:rPr>
        <w:t xml:space="preserve">integrated</w:t>
      </w:r>
      <w:r>
        <w:t xml:space="preserve"> </w:t>
      </w:r>
      <w:r>
        <w:t xml:space="preserve">(i.e. the SO is also the market operator) in central dispatch markets through the creation of a</w:t>
      </w:r>
      <w:r>
        <w:t xml:space="preserve"> </w:t>
      </w:r>
      <w:r>
        <w:rPr>
          <w:iCs/>
          <w:i/>
        </w:rPr>
        <w:t xml:space="preserve">mandatory power pool</w:t>
      </w:r>
      <w:r>
        <w:t xml:space="preserve">, in which offers to generate are aggregated into a single supply curve and are cleared against a demand forecast (one-sided pool) or against an aggregated demand curve constructed from potential buyers (two-sided pool)</w:t>
      </w:r>
      <w:r>
        <w:t xml:space="preserve"> </w:t>
      </w:r>
      <w:r>
        <w:t xml:space="preserve">(</w:t>
      </w:r>
      <w:hyperlink w:anchor="ref-Barroso2005">
        <w:r>
          <w:rPr>
            <w:rStyle w:val="Hyperlink"/>
            <w:bCs/>
            <w:b/>
          </w:rPr>
          <w:t xml:space="preserve">Barroso2005?</w:t>
        </w:r>
      </w:hyperlink>
      <w:r>
        <w:t xml:space="preserve">)</w:t>
      </w:r>
      <w:r>
        <w:t xml:space="preserve">. In these markets, locational marginal prices for energy and</w:t>
      </w:r>
      <w:r>
        <w:t xml:space="preserve"> </w:t>
      </w:r>
      <w:r>
        <w:rPr>
          <w:iCs/>
          <w:i/>
        </w:rPr>
        <w:t xml:space="preserve">ancillary services</w:t>
      </w:r>
      <w:r>
        <w:t xml:space="preserve"> </w:t>
      </w:r>
      <w:r>
        <w:t xml:space="preserve">(services procured for security and reliability reasons) are produced by centralised optimisation processes run by the SO that consider the physical constraints of the transmission system. As outlined in Section 4.4.3, this market model has been adopted in Independent System Operator/Regional Transmission Operator (ISO/RTO) markets in North America and, as I discuss in TODO: (Ref to information context), the Australian NEM has many features of a central dispatch market.</w:t>
      </w:r>
    </w:p>
    <w:p>
      <w:pPr>
        <w:numPr>
          <w:ilvl w:val="0"/>
          <w:numId w:val="1003"/>
        </w:numPr>
      </w:pPr>
      <w:r>
        <w:t xml:space="preserve">Decentralised or</w:t>
      </w:r>
      <w:r>
        <w:t xml:space="preserve"> </w:t>
      </w:r>
      <w:r>
        <w:rPr>
          <w:iCs/>
          <w:i/>
        </w:rPr>
        <w:t xml:space="preserve">self-dispatch</w:t>
      </w:r>
      <w:r>
        <w:t xml:space="preserve"> </w:t>
      </w:r>
      <w:r>
        <w:t xml:space="preserve">markets, where decisions regarding dispatch and unit commitment are made by market participants and in which system &amp; market operations are more decoupled. These types of markets facilitate trade through</w:t>
      </w:r>
      <w:r>
        <w:t xml:space="preserve"> </w:t>
      </w:r>
      <w:r>
        <w:rPr>
          <w:iCs/>
          <w:i/>
        </w:rPr>
        <w:t xml:space="preserve">bilateral contracts</w:t>
      </w:r>
      <w:r>
        <w:t xml:space="preserve"> </w:t>
      </w:r>
      <w:r>
        <w:t xml:space="preserve">that enable suppliers to enter into contracts with buyers either directly or through intermediaries. Whilst scheduling and dispatch is managed by market participants, intended energy schedules (i.e. net contract positions) are submitted by market participants ahead of time to the SO. The SO is responsible for taking</w:t>
      </w:r>
      <w:r>
        <w:t xml:space="preserve"> </w:t>
      </w:r>
      <w:r>
        <w:rPr>
          <w:iCs/>
          <w:i/>
        </w:rPr>
        <w:t xml:space="preserve">redispatch</w:t>
      </w:r>
      <w:r>
        <w:t xml:space="preserve"> </w:t>
      </w:r>
      <w:r>
        <w:t xml:space="preserve">actions to ensure that transmission constraints are not violated, and for determining the requirement for and procuring</w:t>
      </w:r>
      <w:r>
        <w:t xml:space="preserve"> </w:t>
      </w:r>
      <w:r>
        <w:rPr>
          <w:iCs/>
          <w:i/>
        </w:rPr>
        <w:t xml:space="preserve">balancing services</w:t>
      </w:r>
      <w:r>
        <w:t xml:space="preserve"> </w:t>
      </w:r>
      <w:r>
        <w:t xml:space="preserve">(another name for frequency control services, which I discuss in greater detail in TODO:ref) that maintain system balance following market gate closure. As outlined in Section 4.4.4, this is the dominant market model in Europe.</w:t>
      </w:r>
    </w:p>
    <w:p>
      <w:pPr>
        <w:pStyle w:val="FirstParagraph"/>
      </w:pPr>
      <w:r>
        <w:t xml:space="preserve">Figure </w:t>
      </w:r>
      <w:r>
        <w:rPr>
          <w:bCs/>
          <w:b/>
        </w:rPr>
        <w:t xml:space="preserve">¿fig:market_models?</w:t>
      </w:r>
      <w:r>
        <w:t xml:space="preserve"> </w:t>
      </w:r>
      <w:r>
        <w:t xml:space="preserve">shows the primary and secondary commercial arrangements in each of these market models. Bilateral contracts (in the form of derivatives) are often used as hedging instruments in mandatory pool markets, and several bilateral markets, such as those in Europe, have associated voluntary power exchanges that are essentially power pools</w:t>
      </w:r>
      <w:r>
        <w:t xml:space="preserve"> </w:t>
      </w:r>
      <w:r>
        <w:t xml:space="preserve">(</w:t>
      </w:r>
      <w:hyperlink w:anchor="ref-Barroso2005">
        <w:r>
          <w:rPr>
            <w:rStyle w:val="Hyperlink"/>
            <w:bCs/>
            <w:b/>
          </w:rPr>
          <w:t xml:space="preserve">Barroso2005?</w:t>
        </w:r>
      </w:hyperlink>
      <w:r>
        <w:t xml:space="preserve">)</w:t>
      </w:r>
      <w:r>
        <w:t xml:space="preserve">.</w:t>
      </w:r>
    </w:p>
    <w:p>
      <w:pPr>
        <w:pStyle w:val="BodyText"/>
      </w:pPr>
      <w:r>
        <w:drawing>
          <wp:inline>
            <wp:extent cx="4617872" cy="3669832"/>
            <wp:effectExtent b="0" l="0" r="0" t="0"/>
            <wp:docPr descr="Commercial arrangements in central and self-dispatch electricity markets. Reproduced from Barroso et al. (2005)." title="" id="57" name="Picture"/>
            <a:graphic>
              <a:graphicData uri="http://schemas.openxmlformats.org/drawingml/2006/picture">
                <pic:pic>
                  <pic:nvPicPr>
                    <pic:cNvPr descr="source/figures/market_models.png" id="58" name="Picture"/>
                    <pic:cNvPicPr>
                      <a:picLocks noChangeArrowheads="1" noChangeAspect="1"/>
                    </pic:cNvPicPr>
                  </pic:nvPicPr>
                  <pic:blipFill>
                    <a:blip r:embed="rId56"/>
                    <a:stretch>
                      <a:fillRect/>
                    </a:stretch>
                  </pic:blipFill>
                  <pic:spPr bwMode="auto">
                    <a:xfrm>
                      <a:off x="0" y="0"/>
                      <a:ext cx="4617872" cy="3669832"/>
                    </a:xfrm>
                    <a:prstGeom prst="rect">
                      <a:avLst/>
                    </a:prstGeom>
                    <a:noFill/>
                    <a:ln w="9525">
                      <a:noFill/>
                      <a:headEnd/>
                      <a:tailEnd/>
                    </a:ln>
                  </pic:spPr>
                </pic:pic>
              </a:graphicData>
            </a:graphic>
          </wp:inline>
        </w:drawing>
      </w:r>
      <w:r>
        <w:t xml:space="preserve"> </w:t>
      </w:r>
      <w:r>
        <w:t xml:space="preserve">{#fig:market_models}</w:t>
      </w:r>
    </w:p>
    <w:bookmarkEnd w:id="59"/>
    <w:bookmarkStart w:id="60" w:name="market-platforms"/>
    <w:p>
      <w:pPr>
        <w:pStyle w:val="Heading5"/>
      </w:pPr>
      <w:r>
        <w:rPr>
          <w:rStyle w:val="SectionNumber"/>
        </w:rPr>
        <w:t xml:space="preserve">4.4.3.2.3</w:t>
      </w:r>
      <w:r>
        <w:tab/>
      </w:r>
      <w:r>
        <w:t xml:space="preserve">Market platforms</w:t>
      </w:r>
    </w:p>
    <w:p>
      <w:pPr>
        <w:pStyle w:val="FirstParagraph"/>
      </w:pPr>
      <w:r>
        <w:t xml:space="preserve">Power system resource inflexibilities and the desire for physical &amp; financial risk management mechanisms close to power delivery have led market designers in many jurisdictions to implement electricity markets with multiple market</w:t>
      </w:r>
      <w:r>
        <w:t xml:space="preserve"> </w:t>
      </w:r>
      <w:r>
        <w:rPr>
          <w:iCs/>
          <w:i/>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settled at different times (mostly</w:t>
      </w:r>
      <w:r>
        <w:t xml:space="preserve"> </w:t>
      </w:r>
      <w:r>
        <w:rPr>
          <w:iCs/>
          <w:i/>
        </w:rPr>
        <w:t xml:space="preserve">ahead</w:t>
      </w:r>
      <w:r>
        <w:t xml:space="preserve"> </w:t>
      </w:r>
      <w:r>
        <w:t xml:space="preserve">of the delivery of electricity and/or ancillary services). The number of platforms implemented in a particular market is often related to its market model. Self-dispatch markets can maximise trade and better enable market participants to balance their positions by implementing multiple market platforms (typically</w:t>
      </w:r>
      <w:r>
        <w:t xml:space="preserve"> </w:t>
      </w:r>
      <w:r>
        <w:rPr>
          <w:iCs/>
          <w:i/>
        </w:rPr>
        <w:t xml:space="preserve">day-ahead</w:t>
      </w:r>
      <w:r>
        <w:t xml:space="preserve"> </w:t>
      </w:r>
      <w:r>
        <w:t xml:space="preserve">and several</w:t>
      </w:r>
      <w:r>
        <w:t xml:space="preserve"> </w:t>
      </w:r>
      <w:r>
        <w:rPr>
          <w:iCs/>
          <w:i/>
        </w:rPr>
        <w:t xml:space="preserve">intra-day</w:t>
      </w:r>
      <w:r>
        <w:t xml:space="preserve">), whereas the number of platforms in central dispatch markets (typically</w:t>
      </w:r>
      <w:r>
        <w:t xml:space="preserve"> </w:t>
      </w:r>
      <w:r>
        <w:rPr>
          <w:iCs/>
          <w:i/>
        </w:rPr>
        <w:t xml:space="preserve">real-time</w:t>
      </w:r>
      <w:r>
        <w:t xml:space="preserve"> </w:t>
      </w:r>
      <w:r>
        <w:t xml:space="preserve">and in most cases,</w:t>
      </w:r>
      <w:r>
        <w:t xml:space="preserve"> </w:t>
      </w:r>
      <w:r>
        <w:rPr>
          <w:iCs/>
          <w:i/>
        </w:rPr>
        <w:t xml:space="preserve">day-ahead</w:t>
      </w:r>
      <w:r>
        <w:t xml:space="preserve">) is limited by the computational complexity of the optimisation algorithm(s) used by the SO to clear the market</w:t>
      </w:r>
      <w:r>
        <w:t xml:space="preserve"> </w:t>
      </w:r>
      <w:r>
        <w:t xml:space="preserve">(</w:t>
      </w:r>
      <w:hyperlink w:anchor="X1a7b6cd45c2945745544dd989756bef4be08d52">
        <w:r>
          <w:rPr>
            <w:rStyle w:val="Hyperlink"/>
          </w:rPr>
          <w:t xml:space="preserve">Ahlqvist et al., 2018</w:t>
        </w:r>
      </w:hyperlink>
      <w:r>
        <w:t xml:space="preserve">)</w:t>
      </w:r>
      <w:r>
        <w:t xml:space="preserve">. We discuss the market platforms implemented in European markets in TODO:ref, North American ISO/RTO markets in TODO:ref and in the Australian NEM in TODO:ref-reserves.</w:t>
      </w:r>
    </w:p>
    <w:bookmarkEnd w:id="60"/>
    <w:bookmarkEnd w:id="61"/>
    <w:bookmarkEnd w:id="62"/>
    <w:bookmarkEnd w:id="63"/>
    <w:bookmarkStart w:id="80" w:name="X1832210ecbd60ffb66872ec63aa3da6246b9f13"/>
    <w:p>
      <w:pPr>
        <w:pStyle w:val="Heading2"/>
      </w:pPr>
      <w:r>
        <w:rPr>
          <w:rStyle w:val="SectionNumber"/>
        </w:rPr>
        <w:t xml:space="preserve">4.5</w:t>
      </w:r>
      <w:r>
        <w:tab/>
      </w:r>
      <w:r>
        <w:t xml:space="preserve">Balancing practices in operational timeframes</w:t>
      </w:r>
    </w:p>
    <w:p>
      <w:pPr>
        <w:pStyle w:val="FirstParagraph"/>
      </w:pPr>
      <w:r>
        <w:t xml:space="preserve">Power system frequency control is required for the stable operation of a</w:t>
      </w:r>
      <w:r>
        <w:t xml:space="preserve"> </w:t>
      </w:r>
      <w:r>
        <w:t xml:space="preserve">synchronous area. lianEnergyMarketCommission2019]. Trigger of emergency control schemes is undesirable as it affects reliability utcomes</w:t>
      </w:r>
    </w:p>
    <w:bookmarkStart w:id="64" w:name="the-role-of-frequency-control-services"/>
    <w:p>
      <w:pPr>
        <w:pStyle w:val="Heading3"/>
      </w:pPr>
      <w:r>
        <w:rPr>
          <w:rStyle w:val="SectionNumber"/>
        </w:rPr>
        <w:t xml:space="preserve">4.5.1</w:t>
      </w:r>
      <w:r>
        <w:tab/>
      </w:r>
      <w:r>
        <w:t xml:space="preserve">The role of frequency control services</w:t>
      </w:r>
    </w:p>
    <w:p>
      <w:pPr>
        <w:pStyle w:val="FirstParagraph"/>
      </w:pPr>
      <w:r>
        <w:t xml:space="preserve">As discussed in</w:t>
      </w:r>
      <w:r>
        <w:t xml:space="preserve"> </w:t>
      </w:r>
      <w:hyperlink w:anchor="sec:scuc_sced">
        <w:r>
          <w:rPr>
            <w:rStyle w:val="Hyperlink"/>
          </w:rPr>
          <w:t xml:space="preserve">2.4</w:t>
        </w:r>
      </w:hyperlink>
      <w:r>
        <w:t xml:space="preserve">, SCED is executed by vertically-integrated</w:t>
      </w:r>
      <w:r>
        <w:t xml:space="preserve"> </w:t>
      </w:r>
      <w:r>
        <w:t xml:space="preserve">utilities and in mandatory pool electricity markets to ensure that</w:t>
      </w:r>
      <w:r>
        <w:t xml:space="preserve"> </w:t>
      </w:r>
      <w:r>
        <w:t xml:space="preserve">active power supply and demand is efficiently balanced subject to</w:t>
      </w:r>
      <w:r>
        <w:t xml:space="preserve"> </w:t>
      </w:r>
      <w:r>
        <w:t xml:space="preserve">network constraints and system security and reliability requirements.</w:t>
      </w:r>
      <w:r>
        <w:t xml:space="preserve"> </w:t>
      </w:r>
      <w:r>
        <w:t xml:space="preserve">Between, and potentially across consecutive SCED processes (dispatch</w:t>
      </w:r>
      <w:r>
        <w:t xml:space="preserve"> </w:t>
      </w:r>
      <w:r>
        <w:t xml:space="preserve">intervals) and unit commitment schedules,</w:t>
      </w:r>
      <w:r>
        <w:t xml:space="preserve"> </w:t>
      </w:r>
      <w:r>
        <w:rPr>
          <w:iCs/>
          <w:i/>
        </w:rPr>
        <w:t xml:space="preserve">frequency control services</w:t>
      </w:r>
      <w:r>
        <w:t xml:space="preserve"> </w:t>
      </w:r>
      <w:r>
        <w:t xml:space="preserve">are used by the system operator to manage both small and large</w:t>
      </w:r>
      <w:r>
        <w:t xml:space="preserve"> </w:t>
      </w:r>
      <w:r>
        <w:t xml:space="preserve">instantaneous active power imbalances that may arise due to variability</w:t>
      </w:r>
      <w:r>
        <w:t xml:space="preserve"> </w:t>
      </w:r>
      <w:r>
        <w:t xml:space="preserve">and uncertainty.</w:t>
      </w:r>
    </w:p>
    <w:bookmarkEnd w:id="64"/>
    <w:bookmarkStart w:id="79" w:name="sec:conventional_freq_control"/>
    <w:p>
      <w:pPr>
        <w:pStyle w:val="Heading3"/>
      </w:pPr>
      <w:r>
        <w:rPr>
          <w:rStyle w:val="SectionNumber"/>
        </w:rPr>
        <w:t xml:space="preserve">4.5.2</w:t>
      </w:r>
      <w:r>
        <w:tab/>
      </w:r>
      <w:r>
        <w:t xml:space="preserve">Conventional frequency control scheme and services</w:t>
      </w:r>
    </w:p>
    <w:p>
      <w:pPr>
        <w:pStyle w:val="FirstParagraph"/>
      </w:pPr>
      <w:r>
        <w:t xml:space="preserve">Power system operators typically employ a hierarchical and sequential</w:t>
      </w:r>
      <w:r>
        <w:t xml:space="preserve"> </w:t>
      </w:r>
      <w:r>
        <w:t xml:space="preserve">control scheme to contain AC frequency within as narrow a band as</w:t>
      </w:r>
      <w:r>
        <w:t xml:space="preserve"> </w:t>
      </w:r>
      <w:r>
        <w:t xml:space="preserve">possible, particularly during contingency events</w:t>
      </w:r>
      <w:r>
        <w:t xml:space="preserve"> </w:t>
      </w:r>
      <w:r>
        <w:t xml:space="preserve">(</w:t>
      </w:r>
      <w:hyperlink w:anchor="ref-Undrill2018">
        <w:r>
          <w:rPr>
            <w:rStyle w:val="Hyperlink"/>
            <w:bCs/>
            <w:b/>
          </w:rPr>
          <w:t xml:space="preserve">Undrill2018?</w:t>
        </w:r>
      </w:hyperlink>
      <w:r>
        <w:t xml:space="preserve">;</w:t>
      </w:r>
      <w:r>
        <w:t xml:space="preserve"> </w:t>
      </w:r>
      <w:hyperlink w:anchor="ref-Ela2011">
        <w:r>
          <w:rPr>
            <w:rStyle w:val="Hyperlink"/>
            <w:bCs/>
            <w:b/>
          </w:rPr>
          <w:t xml:space="preserve">Ela2011?</w:t>
        </w:r>
      </w:hyperlink>
      <w:r>
        <w:t xml:space="preserve">)</w:t>
      </w:r>
      <w:r>
        <w:t xml:space="preserve">. This control scheme involves the use of</w:t>
      </w:r>
      <w:r>
        <w:t xml:space="preserve"> </w:t>
      </w:r>
      <w:r>
        <w:t xml:space="preserve">generation or load units with reserve capacity that provide frequency</w:t>
      </w:r>
      <w:r>
        <w:t xml:space="preserve"> </w:t>
      </w:r>
      <w:r>
        <w:t xml:space="preserve">control services</w:t>
      </w:r>
      <w:r>
        <w:t xml:space="preserve"> </w:t>
      </w:r>
      <w:r>
        <w:t xml:space="preserve">(</w:t>
      </w:r>
      <w:hyperlink w:anchor="ref-Ela2011">
        <w:r>
          <w:rPr>
            <w:rStyle w:val="Hyperlink"/>
            <w:bCs/>
            <w:b/>
          </w:rPr>
          <w:t xml:space="preserve">Ela2011?</w:t>
        </w:r>
      </w:hyperlink>
      <w:r>
        <w:t xml:space="preserve">)</w:t>
      </w:r>
      <w:r>
        <w:t xml:space="preserve">. For these units to mitigate power system</w:t>
      </w:r>
      <w:r>
        <w:t xml:space="preserve"> </w:t>
      </w:r>
      <w:r>
        <w:t xml:space="preserve">frequency deviations, they must have reserve capacity in the form of</w:t>
      </w:r>
      <w:r>
        <w:t xml:space="preserve"> </w:t>
      </w:r>
      <w:r>
        <w:rPr>
          <w:iCs/>
          <w:i/>
        </w:rPr>
        <w:t xml:space="preserve">headroom</w:t>
      </w:r>
      <w:r>
        <w:t xml:space="preserve"> </w:t>
      </w:r>
      <w:r>
        <w:t xml:space="preserve">(the ability to increase active power output) to respond to</w:t>
      </w:r>
      <w:r>
        <w:t xml:space="preserve"> </w:t>
      </w:r>
      <w:r>
        <w:t xml:space="preserve">an under-frequency event,</w:t>
      </w:r>
      <w:r>
        <w:t xml:space="preserve"> </w:t>
      </w:r>
      <w:r>
        <w:rPr>
          <w:iCs/>
          <w:i/>
        </w:rPr>
        <w:t xml:space="preserve">footroom</w:t>
      </w:r>
      <w:r>
        <w:t xml:space="preserve"> </w:t>
      </w:r>
      <w:r>
        <w:t xml:space="preserve">(the ability to decrease active</w:t>
      </w:r>
      <w:r>
        <w:t xml:space="preserve"> </w:t>
      </w:r>
      <w:r>
        <w:t xml:space="preserve">power output) to respond to an over-frequency event, or both</w:t>
      </w:r>
      <w:r>
        <w:t xml:space="preserve"> </w:t>
      </w:r>
      <w:r>
        <w:t xml:space="preserve">(</w:t>
      </w:r>
      <w:hyperlink w:anchor="ref-Eto2010a">
        <w:r>
          <w:rPr>
            <w:rStyle w:val="Hyperlink"/>
            <w:bCs/>
            <w:b/>
          </w:rPr>
          <w:t xml:space="preserve">Eto2010a?</w:t>
        </w:r>
      </w:hyperlink>
      <w:r>
        <w:t xml:space="preserve">)</w:t>
      </w:r>
      <w:r>
        <w:t xml:space="preserve">. Under-frequency events are generally of greater concern to</w:t>
      </w:r>
      <w:r>
        <w:t xml:space="preserve"> </w:t>
      </w:r>
      <w:r>
        <w:t xml:space="preserve">the system operator (e.g. loss of large generator). The various</w:t>
      </w:r>
      <w:r>
        <w:t xml:space="preserve"> </w:t>
      </w:r>
      <w:r>
        <w:t xml:space="preserve">frequency control services differ based on their purpose, activation</w:t>
      </w:r>
      <w:r>
        <w:t xml:space="preserve"> </w:t>
      </w:r>
      <w:r>
        <w:t xml:space="preserve">method, response time and control method</w:t>
      </w:r>
      <w:r>
        <w:t xml:space="preserve"> </w:t>
      </w:r>
      <w:r>
        <w:t xml:space="preserve">(</w:t>
      </w:r>
      <w:hyperlink w:anchor="fig:freq_control">
        <w:r>
          <w:rPr>
            <w:rStyle w:val="Hyperlink"/>
          </w:rPr>
          <w:t xml:space="preserve">5</w:t>
        </w:r>
      </w:hyperlink>
      <w:r>
        <w:t xml:space="preserve">). In the following subsections, we outline</w:t>
      </w:r>
      <w:r>
        <w:t xml:space="preserve"> </w:t>
      </w:r>
      <w:r>
        <w:t xml:space="preserve">frequency control services that are common in many power systems.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frames over which the various frequency control services are provided. Source: (AustralianEnergyMarketOperator2020l?)." title="" id="66" name="Picture"/>
            <a:graphic>
              <a:graphicData uri="http://schemas.openxmlformats.org/drawingml/2006/picture">
                <pic:pic>
                  <pic:nvPicPr>
                    <pic:cNvPr descr="source/figures/freq_control-03.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4: (a) A trace of power system frequency with corresponding frequency</w:t>
      </w:r>
      <w:r>
        <w:t xml:space="preserve"> </w:t>
      </w:r>
      <w:r>
        <w:t xml:space="preserve">control services following a loss-of-generation contingency event. (b)</w:t>
      </w:r>
      <w:r>
        <w:t xml:space="preserve"> </w:t>
      </w:r>
      <w:r>
        <w:t xml:space="preserve">The timeframes over which the various frequency control services are</w:t>
      </w:r>
      <w:r>
        <w:t xml:space="preserve"> </w:t>
      </w:r>
      <w:r>
        <w:t xml:space="preserve">provided. Source:</w:t>
      </w:r>
      <w:r>
        <w:t xml:space="preserve"> </w:t>
      </w:r>
      <w:r>
        <w:t xml:space="preserve">(</w:t>
      </w:r>
      <w:hyperlink w:anchor="ref-AustralianEnergyMarketOperator2020l">
        <w:r>
          <w:rPr>
            <w:rStyle w:val="Hyperlink"/>
            <w:bCs/>
            <w:b/>
          </w:rPr>
          <w:t xml:space="preserve">AustralianEnergyMarketOperator2020l?</w:t>
        </w:r>
      </w:hyperlink>
      <w:r>
        <w:t xml:space="preserve">)</w:t>
      </w:r>
      <w:r>
        <w:t xml:space="preserve">.</w:t>
      </w:r>
    </w:p>
    <w:bookmarkStart w:id="68" w:name="inertial-response"/>
    <w:p>
      <w:pPr>
        <w:pStyle w:val="Heading4"/>
      </w:pPr>
      <w:r>
        <w:rPr>
          <w:rStyle w:val="SectionNumber"/>
        </w:rPr>
        <w:t xml:space="preserve">4.5.2.1</w:t>
      </w:r>
      <w:r>
        <w:tab/>
      </w:r>
      <w:r>
        <w:t xml:space="preserve">Inertial response</w:t>
      </w:r>
    </w:p>
    <w:p>
      <w:pPr>
        <w:pStyle w:val="FirstParagraph"/>
      </w:pPr>
      <w:r>
        <w:t xml:space="preserve">As discussed in</w:t>
      </w:r>
      <w:r>
        <w:t xml:space="preserve"> </w:t>
      </w:r>
      <w:hyperlink w:anchor="sec:electromech">
        <w:r>
          <w:rPr>
            <w:rStyle w:val="Hyperlink"/>
          </w:rPr>
          <w:t xml:space="preserve">3.3.1</w:t>
        </w:r>
      </w:hyperlink>
      <w:r>
        <w:t xml:space="preserve">, synchronous machines have an inherent</w:t>
      </w:r>
      <w:r>
        <w:t xml:space="preserve"> </w:t>
      </w:r>
      <w:r>
        <w:t xml:space="preserve">inertial response to AC frequency deviations that must be considered in</w:t>
      </w:r>
      <w:r>
        <w:t xml:space="preserve"> </w:t>
      </w:r>
      <w:r>
        <w:t xml:space="preserve">the frequency control strategy of a power system. For a a given active</w:t>
      </w:r>
      <w:r>
        <w:t xml:space="preserve"> </w:t>
      </w:r>
      <w:r>
        <w:t xml:space="preserve">power imbalance, the inertia constant of the synchronous area,</w:t>
      </w:r>
      <w:r>
        <w:t xml:space="preserve"> </w:t>
      </w:r>
      <m:oMath>
        <m:r>
          <m:t>H</m:t>
        </m:r>
      </m:oMath>
      <w:r>
        <w:t xml:space="preserve">,</w:t>
      </w:r>
      <w:r>
        <w:t xml:space="preserve"> </w:t>
      </w:r>
      <w:r>
        <w:t xml:space="preserve">determines the magnitude of the initial RoCoF following a contingency</w:t>
      </w:r>
      <w:r>
        <w:t xml:space="preserve"> </w:t>
      </w:r>
      <w:r>
        <w:t xml:space="preserve">event (see</w:t>
      </w:r>
      <w:r>
        <w:t xml:space="preserve"> </w:t>
      </w:r>
      <w:hyperlink w:anchor="eq:swing_area">
        <w:r>
          <w:rPr>
            <w:rStyle w:val="Hyperlink"/>
          </w:rPr>
          <w:t xml:space="preserve">[eq:swing_area]</w:t>
        </w:r>
      </w:hyperlink>
      <w:r>
        <w:t xml:space="preserve">) and the speed at which the power system can</w:t>
      </w:r>
      <w:r>
        <w:t xml:space="preserve"> </w:t>
      </w:r>
      <w:r>
        <w:t xml:space="preserve">be returned to the nominal frequency</w:t>
      </w:r>
      <w:r>
        <w:t xml:space="preserve"> </w:t>
      </w:r>
      <w:r>
        <w:t xml:space="preserve">(</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w:t>
      </w:r>
    </w:p>
    <w:bookmarkEnd w:id="68"/>
    <w:bookmarkStart w:id="69" w:name="primary-frequency-control"/>
    <w:p>
      <w:pPr>
        <w:pStyle w:val="Heading4"/>
      </w:pPr>
      <w:r>
        <w:rPr>
          <w:rStyle w:val="SectionNumber"/>
        </w:rPr>
        <w:t xml:space="preserve">4.5.2.2</w:t>
      </w:r>
      <w:r>
        <w:tab/>
      </w:r>
      <w:r>
        <w:t xml:space="preserve">Primary frequency control</w:t>
      </w:r>
    </w:p>
    <w:p>
      <w:pPr>
        <w:pStyle w:val="FirstParagraph"/>
      </w:pPr>
      <w:r>
        <w:t xml:space="preserve">The aim of primary frequency control (PFC) is to arrest the frequency</w:t>
      </w:r>
      <w:r>
        <w:t xml:space="preserve"> </w:t>
      </w:r>
      <w:r>
        <w:t xml:space="preserve">deviation through the autonomous response of generators and</w:t>
      </w:r>
      <w:r>
        <w:t xml:space="preserve"> </w:t>
      </w:r>
      <w:r>
        <w:t xml:space="preserve">frequency-responsive demand-response to locally-measured frequency</w:t>
      </w:r>
      <w:r>
        <w:t xml:space="preserve"> </w:t>
      </w:r>
      <w:r>
        <w:t xml:space="preserve">deviations that exceed a certain control dead-band</w:t>
      </w:r>
      <w:r>
        <w:t xml:space="preserve"> </w:t>
      </w:r>
      <w:r>
        <w:t xml:space="preserve">(</w:t>
      </w:r>
      <w:hyperlink w:anchor="ref-Ela2012b">
        <w:r>
          <w:rPr>
            <w:rStyle w:val="Hyperlink"/>
            <w:bCs/>
            <w:b/>
          </w:rPr>
          <w:t xml:space="preserve">Ela2012b?</w:t>
        </w:r>
      </w:hyperlink>
      <w:r>
        <w:t xml:space="preserve">;</w:t>
      </w:r>
      <w:r>
        <w:t xml:space="preserve"> </w:t>
      </w:r>
      <w:hyperlink w:anchor="ref-Wang2003">
        <w:r>
          <w:rPr>
            <w:rStyle w:val="Hyperlink"/>
            <w:bCs/>
            <w:b/>
          </w:rPr>
          <w:t xml:space="preserve">Wang2003?</w:t>
        </w:r>
      </w:hyperlink>
      <w:r>
        <w:t xml:space="preserve">;</w:t>
      </w:r>
      <w:r>
        <w:t xml:space="preserve"> </w:t>
      </w:r>
      <w:hyperlink w:anchor="ref-AustralianEnergyMarketOperator2019e">
        <w:r>
          <w:rPr>
            <w:rStyle w:val="Hyperlink"/>
            <w:bCs/>
            <w:b/>
          </w:rPr>
          <w:t xml:space="preserve">AustralianEnergyMarketOperator2019e?</w:t>
        </w:r>
      </w:hyperlink>
      <w:r>
        <w:t xml:space="preserve">)</w:t>
      </w:r>
      <w:r>
        <w:t xml:space="preserve">. For</w:t>
      </w:r>
      <w:r>
        <w:t xml:space="preserve"> </w:t>
      </w:r>
      <w:r>
        <w:t xml:space="preserve">generators, this is achieved through</w:t>
      </w:r>
      <w:r>
        <w:t xml:space="preserve"> </w:t>
      </w:r>
      <w:r>
        <w:rPr>
          <w:iCs/>
          <w:i/>
        </w:rPr>
        <w:t xml:space="preserve">droop control</w:t>
      </w:r>
      <w:r>
        <w:t xml:space="preserve">, in which a</w:t>
      </w:r>
      <w:r>
        <w:t xml:space="preserve"> </w:t>
      </w:r>
      <w:r>
        <w:t xml:space="preserve">deviation from synchronous speed corresponds to a change in the active</w:t>
      </w:r>
      <w:r>
        <w:t xml:space="preserve"> </w:t>
      </w:r>
      <w:r>
        <w:t xml:space="preserve">power output of a generator according to its droop characteristic</w:t>
      </w:r>
      <w:r>
        <w:t xml:space="preserve"> </w:t>
      </w:r>
      <w:r>
        <w:t xml:space="preserve">(</w:t>
      </w:r>
      <w:hyperlink w:anchor="fig:droop">
        <w:r>
          <w:rPr>
            <w:rStyle w:val="Hyperlink"/>
          </w:rPr>
          <w:t xml:space="preserve">6</w:t>
        </w:r>
      </w:hyperlink>
      <w:r>
        <w:t xml:space="preserve">, from A to</w:t>
      </w:r>
      <w:r>
        <w:t xml:space="preserve"> </w:t>
      </w:r>
      <w:r>
        <w:t xml:space="preserve">B along</w:t>
      </w:r>
      <w:r>
        <w:t xml:space="preserve"> </w:t>
      </w:r>
      <m:oMath>
        <m:sSub>
          <m:e>
            <m:r>
              <m:t>L</m:t>
            </m:r>
          </m:e>
          <m:sub>
            <m:r>
              <m:t>0</m:t>
            </m:r>
          </m:sub>
        </m:sSub>
      </m:oMath>
      <w:r>
        <w:t xml:space="preserve">)</w:t>
      </w:r>
      <w:r>
        <w:t xml:space="preserve"> </w:t>
      </w:r>
      <w:r>
        <w:t xml:space="preserve">(</w:t>
      </w:r>
      <w:hyperlink w:anchor="ref-Eto2018">
        <w:r>
          <w:rPr>
            <w:rStyle w:val="Hyperlink"/>
            <w:bCs/>
            <w:b/>
          </w:rPr>
          <w:t xml:space="preserve">Eto2018?</w:t>
        </w:r>
      </w:hyperlink>
      <w:r>
        <w:t xml:space="preserve">;</w:t>
      </w:r>
      <w:r>
        <w:t xml:space="preserve"> </w:t>
      </w:r>
      <w:hyperlink w:anchor="ref-Ela2012b">
        <w:r>
          <w:rPr>
            <w:rStyle w:val="Hyperlink"/>
            <w:bCs/>
            <w:b/>
          </w:rPr>
          <w:t xml:space="preserve">Ela2012b?</w:t>
        </w:r>
      </w:hyperlink>
      <w:r>
        <w:t xml:space="preserve">)</w:t>
      </w:r>
      <w:r>
        <w:t xml:space="preserve">. Droop control is implemented</w:t>
      </w:r>
      <w:r>
        <w:t xml:space="preserve"> </w:t>
      </w:r>
      <w:r>
        <w:t xml:space="preserve">through the turbine governors of synchronous generators or the inverter</w:t>
      </w:r>
      <w:r>
        <w:t xml:space="preserve"> </w:t>
      </w:r>
      <w:r>
        <w:t xml:space="preserve">control system for IBR</w:t>
      </w:r>
      <w:r>
        <w:t xml:space="preserve"> </w:t>
      </w:r>
      <w:r>
        <w:t xml:space="preserve">(</w:t>
      </w:r>
      <w:hyperlink w:anchor="ref-Undrill2018">
        <w:r>
          <w:rPr>
            <w:rStyle w:val="Hyperlink"/>
            <w:bCs/>
            <w:b/>
          </w:rPr>
          <w:t xml:space="preserve">Undrill2018?</w:t>
        </w:r>
      </w:hyperlink>
      <w:r>
        <w:t xml:space="preserve">)</w:t>
      </w:r>
      <w:r>
        <w:t xml:space="preserve">. Provided there is a sufficient</w:t>
      </w:r>
      <w:r>
        <w:t xml:space="preserve"> </w:t>
      </w:r>
      <w:r>
        <w:t xml:space="preserve">amount of PFC reserve to arrest the system frequency, the speed of PFC</w:t>
      </w:r>
      <w:r>
        <w:t xml:space="preserve"> </w:t>
      </w:r>
      <w:r>
        <w:t xml:space="preserve">determines the</w:t>
      </w:r>
      <w:r>
        <w:t xml:space="preserve"> </w:t>
      </w:r>
      <w:r>
        <w:rPr>
          <w:iCs/>
          <w:i/>
        </w:rPr>
        <w:t xml:space="preserve">frequency zenith</w:t>
      </w:r>
      <w:r>
        <w:t xml:space="preserve"> </w:t>
      </w:r>
      <w:r>
        <w:t xml:space="preserve">or</w:t>
      </w:r>
      <w:r>
        <w:t xml:space="preserve"> </w:t>
      </w:r>
      <w:r>
        <w:rPr>
          <w:iCs/>
          <w:i/>
        </w:rPr>
        <w:t xml:space="preserve">frequency nadir</w:t>
      </w:r>
      <w:r>
        <w:t xml:space="preserve">, which are the</w:t>
      </w:r>
      <w:r>
        <w:t xml:space="preserve"> </w:t>
      </w:r>
      <w:r>
        <w:t xml:space="preserve">maximum or minimum system frequency, respectively, following an active</w:t>
      </w:r>
      <w:r>
        <w:t xml:space="preserve"> </w:t>
      </w:r>
      <w:r>
        <w:t xml:space="preserve">power imbalance event</w:t>
      </w:r>
      <w:r>
        <w:t xml:space="preserve"> </w:t>
      </w:r>
      <w:r>
        <w:t xml:space="preserve">(</w:t>
      </w:r>
      <w:hyperlink w:anchor="ref-Eto2010a">
        <w:r>
          <w:rPr>
            <w:rStyle w:val="Hyperlink"/>
            <w:bCs/>
            <w:b/>
          </w:rPr>
          <w:t xml:space="preserve">Eto2010a?</w:t>
        </w:r>
      </w:hyperlink>
      <w:r>
        <w:t xml:space="preserve">)</w:t>
      </w:r>
      <w:r>
        <w:t xml:space="preserve">. PFC can be activated in response to</w:t>
      </w:r>
      <w:r>
        <w:t xml:space="preserve"> </w:t>
      </w:r>
      <w:r>
        <w:t xml:space="preserve">small (tight dead-band) or contingency (wide dead-band) imbalance events</w:t>
      </w:r>
      <w:r>
        <w:t xml:space="preserve"> </w:t>
      </w:r>
      <w:r>
        <w:t xml:space="preserve">and should ideally be sustained until secondary frequency control can</w:t>
      </w:r>
      <w:r>
        <w:t xml:space="preserve"> </w:t>
      </w:r>
      <w:r>
        <w:t xml:space="preserve">take over</w:t>
      </w:r>
      <w:r>
        <w:t xml:space="preserve"> </w:t>
      </w:r>
      <w:r>
        <w:t xml:space="preserve">(</w:t>
      </w:r>
      <w:hyperlink w:anchor="ref-Eto2018">
        <w:r>
          <w:rPr>
            <w:rStyle w:val="Hyperlink"/>
            <w:bCs/>
            <w:b/>
          </w:rPr>
          <w:t xml:space="preserve">Eto2018?</w:t>
        </w:r>
      </w:hyperlink>
      <w:r>
        <w:t xml:space="preserve">)</w:t>
      </w:r>
      <w:r>
        <w:t xml:space="preserve">.</w:t>
      </w:r>
    </w:p>
    <w:bookmarkEnd w:id="69"/>
    <w:bookmarkStart w:id="73" w:name="secondary-frequency-control"/>
    <w:p>
      <w:pPr>
        <w:pStyle w:val="Heading4"/>
      </w:pPr>
      <w:r>
        <w:rPr>
          <w:rStyle w:val="SectionNumber"/>
        </w:rPr>
        <w:t xml:space="preserve">4.5.2.3</w:t>
      </w:r>
      <w:r>
        <w:tab/>
      </w:r>
      <w:r>
        <w:t xml:space="preserve">Secondary frequency control</w:t>
      </w:r>
    </w:p>
    <w:p>
      <w:pPr>
        <w:pStyle w:val="FirstParagraph"/>
      </w:pPr>
      <w:r>
        <w:t xml:space="preserve">Secondary frequency control (SFC) replaces PFC and can consist of either</w:t>
      </w:r>
      <w:r>
        <w:t xml:space="preserve"> </w:t>
      </w:r>
      <w:r>
        <w:t xml:space="preserve">or both of a synchronous area secondary control system known as an</w:t>
      </w:r>
      <w:r>
        <w:t xml:space="preserve"> </w:t>
      </w:r>
      <w:r>
        <w:rPr>
          <w:iCs/>
          <w:i/>
        </w:rPr>
        <w:t xml:space="preserve">Automatic Generation Control</w:t>
      </w:r>
      <w:r>
        <w:t xml:space="preserve"> </w:t>
      </w:r>
      <w:r>
        <w:t xml:space="preserve">(AGC) or unit-level load controllers (the</w:t>
      </w:r>
      <w:r>
        <w:t xml:space="preserve"> </w:t>
      </w:r>
      <w:r>
        <w:t xml:space="preserve">latter is illustrated in</w:t>
      </w:r>
      <w:r>
        <w:t xml:space="preserve"> </w:t>
      </w:r>
      <w:hyperlink w:anchor="fig:droop">
        <w:r>
          <w:rPr>
            <w:rStyle w:val="Hyperlink"/>
          </w:rPr>
          <w:t xml:space="preserve">6</w:t>
        </w:r>
      </w:hyperlink>
      <w:r>
        <w:t xml:space="preserve">)</w:t>
      </w:r>
      <w:r>
        <w:t xml:space="preserve"> </w:t>
      </w:r>
      <w:r>
        <w:t xml:space="preserve">(</w:t>
      </w:r>
      <w:hyperlink w:anchor="ref-Undrill2018">
        <w:r>
          <w:rPr>
            <w:rStyle w:val="Hyperlink"/>
            <w:bCs/>
            <w:b/>
          </w:rPr>
          <w:t xml:space="preserve">Undrill2018?</w:t>
        </w:r>
      </w:hyperlink>
      <w:r>
        <w:t xml:space="preserve">;</w:t>
      </w:r>
      <w:r>
        <w:t xml:space="preserve"> </w:t>
      </w:r>
      <w:hyperlink w:anchor="ref-Eto2018">
        <w:r>
          <w:rPr>
            <w:rStyle w:val="Hyperlink"/>
            <w:bCs/>
            <w:b/>
          </w:rPr>
          <w:t xml:space="preserve">Eto2018?</w:t>
        </w:r>
      </w:hyperlink>
      <w:r>
        <w:t xml:space="preserve">;</w:t>
      </w:r>
      <w:r>
        <w:t xml:space="preserve"> </w:t>
      </w:r>
      <w:hyperlink w:anchor="ref-Undrill2019">
        <w:r>
          <w:rPr>
            <w:rStyle w:val="Hyperlink"/>
            <w:bCs/>
            <w:b/>
          </w:rPr>
          <w:t xml:space="preserve">Undrill2019?</w:t>
        </w:r>
      </w:hyperlink>
      <w:r>
        <w:t xml:space="preserve">)</w:t>
      </w:r>
      <w:r>
        <w:t xml:space="preserve">. The most</w:t>
      </w:r>
      <w:r>
        <w:t xml:space="preserve"> </w:t>
      </w:r>
      <w:r>
        <w:t xml:space="preserve">common strategy is for a synchronous area AGC to implement</w:t>
      </w:r>
      <w:r>
        <w:t xml:space="preserve"> </w:t>
      </w:r>
      <w:r>
        <w:t xml:space="preserve">proportional-integral control on the Area Control Error (ACE) with a</w:t>
      </w:r>
      <w:r>
        <w:t xml:space="preserve"> </w:t>
      </w:r>
      <w:r>
        <w:t xml:space="preserve">tie-line bias</w:t>
      </w:r>
      <w:r>
        <w:t xml:space="preserve"> </w:t>
      </w:r>
      <w:r>
        <w:t xml:space="preserve">(</w:t>
      </w:r>
      <w:hyperlink w:anchor="ref-Machowski2020">
        <w:r>
          <w:rPr>
            <w:rStyle w:val="Hyperlink"/>
            <w:bCs/>
            <w:b/>
          </w:rPr>
          <w:t xml:space="preserve">Machowski2020?</w:t>
        </w:r>
      </w:hyperlink>
      <w:r>
        <w:t xml:space="preserve">;</w:t>
      </w:r>
      <w:r>
        <w:t xml:space="preserve"> </w:t>
      </w:r>
      <w:hyperlink w:anchor="ref-Ela2011">
        <w:r>
          <w:rPr>
            <w:rStyle w:val="Hyperlink"/>
            <w:bCs/>
            <w:b/>
          </w:rPr>
          <w:t xml:space="preserve">Ela2011?</w:t>
        </w:r>
      </w:hyperlink>
      <w:r>
        <w:t xml:space="preserve">)</w:t>
      </w:r>
      <w:r>
        <w:t xml:space="preserve">. To minimise ACE and return the</w:t>
      </w:r>
      <w:r>
        <w:t xml:space="preserve"> </w:t>
      </w:r>
      <w:r>
        <w:t xml:space="preserve">power system to its nominal frequency, the AGC sends signals to SFC</w:t>
      </w:r>
      <w:r>
        <w:t xml:space="preserve"> </w:t>
      </w:r>
      <w:r>
        <w:t xml:space="preserve">units every 4 to 10 seconds to adjust their active power output in</w:t>
      </w:r>
      <w:r>
        <w:t xml:space="preserve"> </w:t>
      </w:r>
      <w:r>
        <w:t xml:space="preserve">response to a frequency deviation</w:t>
      </w:r>
      <w:r>
        <w:t xml:space="preserve"> </w:t>
      </w:r>
      <w:r>
        <w:t xml:space="preserve">(</w:t>
      </w:r>
      <w:hyperlink w:anchor="ref-Eto2018">
        <w:r>
          <w:rPr>
            <w:rStyle w:val="Hyperlink"/>
            <w:bCs/>
            <w:b/>
          </w:rPr>
          <w:t xml:space="preserve">Eto2018?</w:t>
        </w:r>
      </w:hyperlink>
      <w:r>
        <w:t xml:space="preserve">)</w:t>
      </w:r>
      <w:r>
        <w:t xml:space="preserve">. When used to respond to</w:t>
      </w:r>
      <w:r>
        <w:t xml:space="preserve"> </w:t>
      </w:r>
      <w:r>
        <w:t xml:space="preserve">smaller imbalance events, SFC is typically known as</w:t>
      </w:r>
      <w:r>
        <w:t xml:space="preserve"> </w:t>
      </w:r>
      <w:r>
        <w:rPr>
          <w:iCs/>
          <w:i/>
        </w:rPr>
        <w:t xml:space="preserve">regulation</w:t>
      </w:r>
      <w:r>
        <w:t xml:space="preserve"> </w:t>
      </w:r>
      <w:r>
        <w:t xml:space="preserve">(</w:t>
      </w:r>
      <w:hyperlink w:anchor="ref-Ela2011">
        <w:r>
          <w:rPr>
            <w:rStyle w:val="Hyperlink"/>
            <w:bCs/>
            <w:b/>
          </w:rPr>
          <w:t xml:space="preserve">Ela2011?</w:t>
        </w:r>
      </w:hyperlink>
      <w:r>
        <w:t xml:space="preserve">;</w:t>
      </w:r>
      <w:r>
        <w:t xml:space="preserve"> </w:t>
      </w:r>
      <w:hyperlink w:anchor="ref-Hewicker2020">
        <w:r>
          <w:rPr>
            <w:rStyle w:val="Hyperlink"/>
            <w:bCs/>
            <w:b/>
          </w:rPr>
          <w:t xml:space="preserve">Hewicker2020?</w:t>
        </w:r>
      </w:hyperlink>
      <w:r>
        <w:t xml:space="preserve">)</w:t>
      </w:r>
      <w:r>
        <w:t xml:space="preserve">.</w:t>
      </w:r>
    </w:p>
    <w:p>
      <w:pPr>
        <w:pStyle w:val="CaptionedFigure"/>
      </w:pPr>
      <w:r>
        <w:drawing>
          <wp:inline>
            <wp:extent cx="4000500" cy="3320845"/>
            <wp:effectExtent b="0" l="0" r="0" t="0"/>
            <wp:docPr descr="Behaviour of a synchronous generator with a turbine governor providing PFC and responding to SFC. L_0 is the initial droop characteristic. The generator is initially operating at point A with an active power output of P_{M0}. System frequency (and hence the synchronous sped of the turbine) decreases from \omega_0 to \omega_1 and the turbine governor responds by moving the turbine along the droop characteristic to point B, thus increasing its active power output to P_{M1}. Following this, SFC changes the reference speed setpoint of the governor, moving the droop characteristic to L_1 and returning the system to frequency \omega_0. Source: (Wang2003?)." title="" id="71" name="Picture"/>
            <a:graphic>
              <a:graphicData uri="http://schemas.openxmlformats.org/drawingml/2006/picture">
                <pic:pic>
                  <pic:nvPicPr>
                    <pic:cNvPr descr="source/figures/droop.png" id="72" name="Picture"/>
                    <pic:cNvPicPr>
                      <a:picLocks noChangeArrowheads="1" noChangeAspect="1"/>
                    </pic:cNvPicPr>
                  </pic:nvPicPr>
                  <pic:blipFill>
                    <a:blip r:embed="rId70"/>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5: Behaviour of a synchronous generator with a turbine governor providing</w:t>
      </w:r>
      <w:r>
        <w:t xml:space="preserve"> </w:t>
      </w:r>
      <w:r>
        <w:t xml:space="preserve">PFC and responding to SFC.</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SFC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p>
    <w:bookmarkEnd w:id="73"/>
    <w:bookmarkStart w:id="74" w:name="tertiary-frequency-control"/>
    <w:p>
      <w:pPr>
        <w:pStyle w:val="Heading4"/>
      </w:pPr>
      <w:r>
        <w:rPr>
          <w:rStyle w:val="SectionNumber"/>
        </w:rPr>
        <w:t xml:space="preserve">4.5.2.4</w:t>
      </w:r>
      <w:r>
        <w:tab/>
      </w:r>
      <w:r>
        <w:t xml:space="preserve">Tertiary frequency control</w:t>
      </w:r>
    </w:p>
    <w:p>
      <w:pPr>
        <w:pStyle w:val="FirstParagraph"/>
      </w:pPr>
      <w:r>
        <w:t xml:space="preserve">Tertiary frequency control (TFC) is intended to replace PFC and SFC. TFC</w:t>
      </w:r>
      <w:r>
        <w:t xml:space="preserve"> </w:t>
      </w:r>
      <w:r>
        <w:t xml:space="preserve">is typically used as a margin of safety in systems where relatively</w:t>
      </w:r>
      <w:r>
        <w:t xml:space="preserve"> </w:t>
      </w:r>
      <w:r>
        <w:t xml:space="preserve">infrequent unit commitment or rescheduling processes may be required to</w:t>
      </w:r>
      <w:r>
        <w:t xml:space="preserve"> </w:t>
      </w:r>
      <w:r>
        <w:t xml:space="preserve">correct an active power imbalance</w:t>
      </w:r>
      <w:r>
        <w:t xml:space="preserve"> </w:t>
      </w:r>
      <w:r>
        <w:t xml:space="preserve">(</w:t>
      </w:r>
      <w:hyperlink w:anchor="ref-Hewicker2020">
        <w:r>
          <w:rPr>
            <w:rStyle w:val="Hyperlink"/>
            <w:bCs/>
            <w:b/>
          </w:rPr>
          <w:t xml:space="preserve">Hewicker2020?</w:t>
        </w:r>
      </w:hyperlink>
      <w:r>
        <w:t xml:space="preserve">)</w:t>
      </w:r>
      <w:r>
        <w:t xml:space="preserve">. Some systems, such as</w:t>
      </w:r>
      <w:r>
        <w:t xml:space="preserve"> </w:t>
      </w:r>
      <w:r>
        <w:t xml:space="preserve">the NEM, do not procure TFR and instead rely solely upon a SCED that is</w:t>
      </w:r>
      <w:r>
        <w:t xml:space="preserve"> </w:t>
      </w:r>
      <w:r>
        <w:t xml:space="preserve">frequently executed</w:t>
      </w:r>
      <w:r>
        <w:t xml:space="preserve"> </w:t>
      </w:r>
      <w:r>
        <w:t xml:space="preserve">(</w:t>
      </w:r>
      <w:hyperlink w:anchor="ref-Billimoria2020">
        <w:r>
          <w:rPr>
            <w:rStyle w:val="Hyperlink"/>
            <w:bCs/>
            <w:b/>
          </w:rPr>
          <w:t xml:space="preserve">Billimoria2020?</w:t>
        </w:r>
      </w:hyperlink>
      <w:r>
        <w:t xml:space="preserve">)</w:t>
      </w:r>
      <w:r>
        <w:t xml:space="preserve">.</w:t>
      </w:r>
    </w:p>
    <w:bookmarkEnd w:id="74"/>
    <w:bookmarkStart w:id="75" w:name="dispatch-and-unit-commitment"/>
    <w:p>
      <w:pPr>
        <w:pStyle w:val="Heading4"/>
      </w:pPr>
      <w:r>
        <w:rPr>
          <w:rStyle w:val="SectionNumber"/>
        </w:rPr>
        <w:t xml:space="preserve">4.5.2.5</w:t>
      </w:r>
      <w:r>
        <w:tab/>
      </w:r>
      <w:r>
        <w:t xml:space="preserve">Dispatch and unit commitment</w:t>
      </w:r>
    </w:p>
    <w:p>
      <w:pPr>
        <w:pStyle w:val="FirstParagraph"/>
      </w:pPr>
      <w:r>
        <w:t xml:space="preserve">In mandatory pool markets, the system operator commits and dispatches</w:t>
      </w:r>
      <w:r>
        <w:t xml:space="preserve"> </w:t>
      </w:r>
      <w:r>
        <w:t xml:space="preserve">individual generators (and, in some cases, loads) in the day-ahead and</w:t>
      </w:r>
      <w:r>
        <w:t xml:space="preserve"> </w:t>
      </w:r>
      <w:r>
        <w:t xml:space="preserve">real-time markets, respectively, based on economic optimisation</w:t>
      </w:r>
      <w:r>
        <w:t xml:space="preserve"> </w:t>
      </w:r>
      <w:r>
        <w:t xml:space="preserve">processes that incorporate transmission constraints and stability and</w:t>
      </w:r>
      <w:r>
        <w:t xml:space="preserve"> </w:t>
      </w:r>
      <w:r>
        <w:t xml:space="preserve">reliability requirements. These processes are</w:t>
      </w:r>
      <w:r>
        <w:t xml:space="preserve"> </w:t>
      </w:r>
      <w:r>
        <w:rPr>
          <w:iCs/>
          <w:i/>
        </w:rPr>
        <w:t xml:space="preserve">security-constrained unit</w:t>
      </w:r>
      <w:r>
        <w:rPr>
          <w:iCs/>
          <w:i/>
        </w:rPr>
        <w:t xml:space="preserve"> </w:t>
      </w:r>
      <w:r>
        <w:rPr>
          <w:iCs/>
          <w:i/>
        </w:rPr>
        <w:t xml:space="preserve">commitment</w:t>
      </w:r>
      <w:r>
        <w:t xml:space="preserve"> </w:t>
      </w:r>
      <w:r>
        <w:t xml:space="preserve">(SCUC), which is executed in the day-ahead market, and</w:t>
      </w:r>
      <w:r>
        <w:t xml:space="preserve"> </w:t>
      </w:r>
      <w:r>
        <w:rPr>
          <w:iCs/>
          <w:i/>
        </w:rPr>
        <w:t xml:space="preserve">security-constrained economic dispatch</w:t>
      </w:r>
      <w:r>
        <w:t xml:space="preserve"> </w:t>
      </w:r>
      <w:r>
        <w:t xml:space="preserve">(SCED), which is executed just</w:t>
      </w:r>
      <w:r>
        <w:t xml:space="preserve"> </w:t>
      </w:r>
      <w:r>
        <w:t xml:space="preserve">prior to the relevant real-time market interval. In many mandatory pool</w:t>
      </w:r>
      <w:r>
        <w:t xml:space="preserve"> </w:t>
      </w:r>
      <w:r>
        <w:t xml:space="preserve">markets, SCED and SCUC co-optimise the provision of energy and frequency</w:t>
      </w:r>
      <w:r>
        <w:t xml:space="preserve"> </w:t>
      </w:r>
      <w:r>
        <w:t xml:space="preserve">control services</w:t>
      </w:r>
    </w:p>
    <w:p>
      <w:pPr>
        <w:pStyle w:val="BodyText"/>
      </w:pPr>
      <w:r>
        <w:t xml:space="preserve">It should be noted that these processes are not exclusive to mandatory</w:t>
      </w:r>
      <w:r>
        <w:t xml:space="preserve"> </w:t>
      </w:r>
      <w:r>
        <w:t xml:space="preserve">pool markets and could be used by vertically-integrated utilities to</w:t>
      </w:r>
      <w:r>
        <w:t xml:space="preserve"> </w:t>
      </w:r>
      <w:r>
        <w:t xml:space="preserve">efficiently schedule resources in the power system</w:t>
      </w:r>
      <w:r>
        <w:t xml:space="preserve"> </w:t>
      </w:r>
      <w:r>
        <w:t xml:space="preserve">(</w:t>
      </w:r>
      <w:hyperlink w:anchor="ref-Grainger1994">
        <w:r>
          <w:rPr>
            <w:rStyle w:val="Hyperlink"/>
            <w:bCs/>
            <w:b/>
          </w:rPr>
          <w:t xml:space="preserve">Grainger1994?</w:t>
        </w:r>
      </w:hyperlink>
      <w:r>
        <w:t xml:space="preserve">)</w:t>
      </w:r>
      <w:r>
        <w:t xml:space="preserve">.</w:t>
      </w:r>
      <w:r>
        <w:t xml:space="preserve"> </w:t>
      </w:r>
      <w:r>
        <w:t xml:space="preserve">#### Security-constrained economic dispatch</w:t>
      </w:r>
    </w:p>
    <w:p>
      <w:pPr>
        <w:pStyle w:val="BodyText"/>
      </w:pPr>
      <w:r>
        <w:t xml:space="preserve">SCED aims to determine the minimum cost operating configuration for</w:t>
      </w:r>
      <w:r>
        <w:t xml:space="preserve"> </w:t>
      </w:r>
      <w:r>
        <w:t xml:space="preserve">committed generation such that a short-term forecast or actual demand</w:t>
      </w:r>
      <w:r>
        <w:t xml:space="preserve"> </w:t>
      </w:r>
      <w:r>
        <w:t xml:space="preserve">can be met subject to subject to network constraints and stability and</w:t>
      </w:r>
      <w:r>
        <w:t xml:space="preserve"> </w:t>
      </w:r>
      <w:r>
        <w:t xml:space="preserve">reliability requirements</w:t>
      </w:r>
      <w:r>
        <w:t xml:space="preserve"> </w:t>
      </w:r>
      <w:r>
        <w:t xml:space="preserve">(</w:t>
      </w:r>
      <w:hyperlink w:anchor="ref-Grainger1994">
        <w:r>
          <w:rPr>
            <w:rStyle w:val="Hyperlink"/>
            <w:bCs/>
            <w:b/>
          </w:rPr>
          <w:t xml:space="preserve">Grainger1994?</w:t>
        </w:r>
      </w:hyperlink>
      <w:r>
        <w:t xml:space="preserve">;</w:t>
      </w:r>
      <w:r>
        <w:t xml:space="preserve"> </w:t>
      </w:r>
      <w:hyperlink w:anchor="ref-Wood2014">
        <w:r>
          <w:rPr>
            <w:rStyle w:val="Hyperlink"/>
            <w:bCs/>
            <w:b/>
          </w:rPr>
          <w:t xml:space="preserve">Wood2014?</w:t>
        </w:r>
      </w:hyperlink>
      <w:r>
        <w:t xml:space="preserve">)</w:t>
      </w:r>
      <w:r>
        <w:t xml:space="preserve">. As generators</w:t>
      </w:r>
      <w:r>
        <w:t xml:space="preserve"> </w:t>
      </w:r>
      <w:r>
        <w:t xml:space="preserve">typically submit offers for generation (and in some cases, frequency</w:t>
      </w:r>
      <w:r>
        <w:t xml:space="preserve"> </w:t>
      </w:r>
      <w:r>
        <w:t xml:space="preserve">control) as piecewise linear cost functions, the SCED problem is less</w:t>
      </w:r>
      <w:r>
        <w:t xml:space="preserve"> </w:t>
      </w:r>
      <w:r>
        <w:t xml:space="preserve">computationally complex than SCUC and can be solved using linear</w:t>
      </w:r>
      <w:r>
        <w:t xml:space="preserve"> </w:t>
      </w:r>
      <w:r>
        <w:t xml:space="preserve">programming techniques</w:t>
      </w:r>
      <w:r>
        <w:t xml:space="preserve"> </w:t>
      </w:r>
      <w:r>
        <w:t xml:space="preserve">(</w:t>
      </w:r>
      <w:hyperlink w:anchor="ref-Wood2014">
        <w:r>
          <w:rPr>
            <w:rStyle w:val="Hyperlink"/>
            <w:bCs/>
            <w:b/>
          </w:rPr>
          <w:t xml:space="preserve">Wood2014?</w:t>
        </w:r>
      </w:hyperlink>
      <w:r>
        <w:t xml:space="preserve">)</w:t>
      </w:r>
      <w:r>
        <w:t xml:space="preserve">. For a given real-time market</w:t>
      </w:r>
      <w:r>
        <w:t xml:space="preserve"> </w:t>
      </w:r>
      <w:r>
        <w:t xml:space="preserve">interval, SCED produces a set of physically and financially binding</w:t>
      </w:r>
      <w:r>
        <w:t xml:space="preserve"> </w:t>
      </w:r>
      <w:r>
        <w:t xml:space="preserve">dispatch instructions, which include generation setpoints and enablement</w:t>
      </w:r>
      <w:r>
        <w:t xml:space="preserve"> </w:t>
      </w:r>
      <w:r>
        <w:t xml:space="preserve">for frequency control services, and locational marginal prices for</w:t>
      </w:r>
      <w:r>
        <w:t xml:space="preserve"> </w:t>
      </w:r>
      <w:r>
        <w:t xml:space="preserve">energy and frequency control services</w:t>
      </w:r>
      <w:r>
        <w:t xml:space="preserve"> </w:t>
      </w:r>
      <w:r>
        <w:t xml:space="preserve">(</w:t>
      </w:r>
      <w:hyperlink w:anchor="ref-Cramton2017">
        <w:r>
          <w:rPr>
            <w:rStyle w:val="Hyperlink"/>
            <w:bCs/>
            <w:b/>
          </w:rPr>
          <w:t xml:space="preserve">Cramton2017?</w:t>
        </w:r>
      </w:hyperlink>
      <w:r>
        <w:t xml:space="preserve">)</w:t>
      </w:r>
      <w:r>
        <w:t xml:space="preserve">. In multi-platform</w:t>
      </w:r>
      <w:r>
        <w:t xml:space="preserve"> </w:t>
      </w:r>
      <w:r>
        <w:t xml:space="preserve">markets such as the ISO/RTO markets, SCED is considered a sub-problem of</w:t>
      </w:r>
      <w:r>
        <w:t xml:space="preserve"> </w:t>
      </w:r>
      <w:r>
        <w:t xml:space="preserve">unit commitment and is run for every real-time market interval ( 5-15</w:t>
      </w:r>
      <w:r>
        <w:t xml:space="preserve"> </w:t>
      </w:r>
      <w:r>
        <w:t xml:space="preserve">minutes)</w:t>
      </w:r>
      <w:r>
        <w:t xml:space="preserve"> </w:t>
      </w:r>
      <w:r>
        <w:t xml:space="preserve">(</w:t>
      </w:r>
      <w:hyperlink w:anchor="ref-Wood2014">
        <w:r>
          <w:rPr>
            <w:rStyle w:val="Hyperlink"/>
            <w:bCs/>
            <w:b/>
          </w:rPr>
          <w:t xml:space="preserve">Wood2014?</w:t>
        </w:r>
      </w:hyperlink>
      <w:r>
        <w:t xml:space="preserve">;</w:t>
      </w:r>
      <w:r>
        <w:t xml:space="preserve"> </w:t>
      </w:r>
      <w:hyperlink w:anchor="Xd11bffbf5d3f1649926188c421055c9fe514a8b">
        <w:r>
          <w:rPr>
            <w:rStyle w:val="Hyperlink"/>
            <w:bCs/>
            <w:b/>
          </w:rPr>
          <w:t xml:space="preserve">InternationalRenewableEnergyAgency2019?</w:t>
        </w:r>
      </w:hyperlink>
      <w:r>
        <w:t xml:space="preserve">)</w:t>
      </w:r>
      <w:r>
        <w:t xml:space="preserve">. In</w:t>
      </w:r>
      <w:r>
        <w:t xml:space="preserve"> </w:t>
      </w:r>
      <w:r>
        <w:t xml:space="preserve">single-platform markets, such as the NEM, market participants manage</w:t>
      </w:r>
      <w:r>
        <w:t xml:space="preserve"> </w:t>
      </w:r>
      <w:r>
        <w:t xml:space="preserve">their own unit commitment and SCED is the only market process that</w:t>
      </w:r>
      <w:r>
        <w:t xml:space="preserve"> </w:t>
      </w:r>
      <w:r>
        <w:t xml:space="preserve">produces a binding schedule</w:t>
      </w:r>
      <w:r>
        <w:t xml:space="preserve"> </w:t>
      </w:r>
      <w:r>
        <w:t xml:space="preserve">(</w:t>
      </w:r>
      <w:hyperlink w:anchor="ref-AustralianEnergyRegulator2016">
        <w:r>
          <w:rPr>
            <w:rStyle w:val="Hyperlink"/>
            <w:bCs/>
            <w:b/>
          </w:rPr>
          <w:t xml:space="preserve">AustralianEnergyRegulator2016?</w:t>
        </w:r>
      </w:hyperlink>
      <w:r>
        <w:t xml:space="preserve">)</w:t>
      </w:r>
      <w:r>
        <w:t xml:space="preserve">.</w:t>
      </w:r>
    </w:p>
    <w:bookmarkEnd w:id="75"/>
    <w:bookmarkStart w:id="76" w:name="security-constrained-unit-commitment"/>
    <w:p>
      <w:pPr>
        <w:pStyle w:val="Heading4"/>
      </w:pPr>
      <w:r>
        <w:rPr>
          <w:rStyle w:val="SectionNumber"/>
        </w:rPr>
        <w:t xml:space="preserve">4.5.2.6</w:t>
      </w:r>
      <w:r>
        <w:tab/>
      </w:r>
      <w:r>
        <w:t xml:space="preserve">Security-constrained unit commitment</w:t>
      </w:r>
    </w:p>
    <w:p>
      <w:pPr>
        <w:pStyle w:val="FirstParagraph"/>
      </w:pPr>
      <w:r>
        <w:t xml:space="preserve">The aim of SCUC is to determine the minimum cost subset of generation</w:t>
      </w:r>
      <w:r>
        <w:t xml:space="preserve"> </w:t>
      </w:r>
      <w:r>
        <w:t xml:space="preserve">that should be committed (i.e. synchronised and ready to deliver power</w:t>
      </w:r>
      <w:r>
        <w:t xml:space="preserve"> </w:t>
      </w:r>
      <w:r>
        <w:t xml:space="preserve">to the power system) to meet a demand forecast for a set of future</w:t>
      </w:r>
      <w:r>
        <w:t xml:space="preserve"> </w:t>
      </w:r>
      <w:r>
        <w:t xml:space="preserve">market intervals subject to network constraints and stability and</w:t>
      </w:r>
      <w:r>
        <w:t xml:space="preserve"> </w:t>
      </w:r>
      <w:r>
        <w:t xml:space="preserve">reliability requirements</w:t>
      </w:r>
      <w:r>
        <w:t xml:space="preserve"> </w:t>
      </w:r>
      <w:r>
        <w:t xml:space="preserve">(</w:t>
      </w:r>
      <w:hyperlink w:anchor="ref-Wood2014">
        <w:r>
          <w:rPr>
            <w:rStyle w:val="Hyperlink"/>
            <w:bCs/>
            <w:b/>
          </w:rPr>
          <w:t xml:space="preserve">Wood2014?</w:t>
        </w:r>
      </w:hyperlink>
      <w:r>
        <w:t xml:space="preserve">)</w:t>
      </w:r>
      <w:r>
        <w:t xml:space="preserve">. SCUC is a computationally complex</w:t>
      </w:r>
      <w:r>
        <w:t xml:space="preserve"> </w:t>
      </w:r>
      <w:r>
        <w:t xml:space="preserve">non-linear problem in many electricity markets because it considers</w:t>
      </w:r>
      <w:r>
        <w:t xml:space="preserve"> </w:t>
      </w:r>
      <w:r>
        <w:t xml:space="preserve">non-convexities such as start-up costs and minimum operating costs in</w:t>
      </w:r>
      <w:r>
        <w:t xml:space="preserve"> </w:t>
      </w:r>
      <w:r>
        <w:t xml:space="preserve">addition to an offer for energy</w:t>
      </w:r>
      <w:r>
        <w:t xml:space="preserve"> </w:t>
      </w:r>
      <w:r>
        <w:t xml:space="preserve">(</w:t>
      </w:r>
      <w:hyperlink w:anchor="ref-Cramton2017">
        <w:r>
          <w:rPr>
            <w:rStyle w:val="Hyperlink"/>
            <w:bCs/>
            <w:b/>
          </w:rPr>
          <w:t xml:space="preserve">Cramton2017?</w:t>
        </w:r>
      </w:hyperlink>
      <w:r>
        <w:t xml:space="preserve">;</w:t>
      </w:r>
      <w:r>
        <w:t xml:space="preserve"> </w:t>
      </w:r>
      <w:hyperlink w:anchor="ref-Isemonger2009">
        <w:r>
          <w:rPr>
            <w:rStyle w:val="Hyperlink"/>
            <w:bCs/>
            <w:b/>
          </w:rPr>
          <w:t xml:space="preserve">Isemonger2009?</w:t>
        </w:r>
      </w:hyperlink>
      <w:r>
        <w:t xml:space="preserve">)</w:t>
      </w:r>
      <w:r>
        <w:t xml:space="preserve">. The</w:t>
      </w:r>
      <w:r>
        <w:t xml:space="preserve"> </w:t>
      </w:r>
      <w:r>
        <w:t xml:space="preserve">outcomes of solving this problem are an ahead schedule, which is often</w:t>
      </w:r>
      <w:r>
        <w:t xml:space="preserve"> </w:t>
      </w:r>
      <w:r>
        <w:t xml:space="preserve">only financially binding, and locational marginal prices for energy and</w:t>
      </w:r>
      <w:r>
        <w:t xml:space="preserve"> </w:t>
      </w:r>
      <w:r>
        <w:t xml:space="preserve">frequency control services for a future set of market intervals, such as</w:t>
      </w:r>
      <w:r>
        <w:t xml:space="preserve"> </w:t>
      </w:r>
      <w:r>
        <w:t xml:space="preserve">the next day when SCUC is executed in day-ahead markets. SCUC can be</w:t>
      </w:r>
      <w:r>
        <w:t xml:space="preserve"> </w:t>
      </w:r>
      <w:r>
        <w:t xml:space="preserve">beneficial for market participants that wish to hedge their production</w:t>
      </w:r>
      <w:r>
        <w:t xml:space="preserve"> </w:t>
      </w:r>
      <w:r>
        <w:t xml:space="preserve">or consumption</w:t>
      </w:r>
      <w:r>
        <w:t xml:space="preserve"> </w:t>
      </w:r>
      <w:r>
        <w:t xml:space="preserve">(</w:t>
      </w:r>
      <w:hyperlink w:anchor="ref-Isemonger2006">
        <w:r>
          <w:rPr>
            <w:rStyle w:val="Hyperlink"/>
            <w:bCs/>
            <w:b/>
          </w:rPr>
          <w:t xml:space="preserve">Isemonger2006?</w:t>
        </w:r>
      </w:hyperlink>
      <w:r>
        <w:t xml:space="preserve">)</w:t>
      </w:r>
      <w:r>
        <w:t xml:space="preserve">. Furthermore, it offers certainty around</w:t>
      </w:r>
      <w:r>
        <w:t xml:space="preserve"> </w:t>
      </w:r>
      <w:r>
        <w:t xml:space="preserve">power system outcomes to the system operator, and around market outcomes</w:t>
      </w:r>
      <w:r>
        <w:t xml:space="preserve"> </w:t>
      </w:r>
      <w:r>
        <w:t xml:space="preserve">to generators that have long lead times and significant costs associated</w:t>
      </w:r>
      <w:r>
        <w:t xml:space="preserve"> </w:t>
      </w:r>
      <w:r>
        <w:t xml:space="preserve">with commitment (e.g. baseload coal power plant) or generators that</w:t>
      </w:r>
      <w:r>
        <w:t xml:space="preserve"> </w:t>
      </w:r>
      <w:r>
        <w:t xml:space="preserve">primarily consider opportunity costs, rather than marginal costs, when</w:t>
      </w:r>
      <w:r>
        <w:t xml:space="preserve"> </w:t>
      </w:r>
      <w:r>
        <w:t xml:space="preserve">determining whether it is profitable to provide energy (e.g.</w:t>
      </w:r>
      <w:r>
        <w:t xml:space="preserve"> </w:t>
      </w:r>
      <w:r>
        <w:t xml:space="preserve">hydroelectric power plants, battery energy storage systems)</w:t>
      </w:r>
      <w:r>
        <w:t xml:space="preserve"> </w:t>
      </w:r>
      <w:r>
        <w:t xml:space="preserve">(</w:t>
      </w:r>
      <w:hyperlink w:anchor="ref-Wood2014">
        <w:r>
          <w:rPr>
            <w:rStyle w:val="Hyperlink"/>
            <w:bCs/>
            <w:b/>
          </w:rPr>
          <w:t xml:space="preserve">Wood2014?</w:t>
        </w:r>
      </w:hyperlink>
      <w:r>
        <w:t xml:space="preserve">;</w:t>
      </w:r>
      <w:r>
        <w:t xml:space="preserve"> </w:t>
      </w:r>
      <w:hyperlink w:anchor="ref-Cadwalader1998ReliabilityPricing">
        <w:r>
          <w:rPr>
            <w:rStyle w:val="Hyperlink"/>
            <w:bCs/>
            <w:b/>
          </w:rPr>
          <w:t xml:space="preserve">Cadwalader1998ReliabilityPricing?</w:t>
        </w:r>
      </w:hyperlink>
      <w:r>
        <w:t xml:space="preserve">)</w:t>
      </w:r>
      <w:r>
        <w:t xml:space="preserve">.</w:t>
      </w:r>
    </w:p>
    <w:bookmarkEnd w:id="76"/>
    <w:bookmarkStart w:id="78" w:name="longer-term-scheduling"/>
    <w:p>
      <w:pPr>
        <w:pStyle w:val="Heading4"/>
      </w:pPr>
      <w:r>
        <w:rPr>
          <w:rStyle w:val="SectionNumber"/>
        </w:rPr>
        <w:t xml:space="preserve">4.5.2.7</w:t>
      </w:r>
      <w:r>
        <w:tab/>
      </w:r>
      <w:r>
        <w:t xml:space="preserve">Longer-term scheduling</w:t>
      </w:r>
    </w:p>
    <w:bookmarkStart w:id="77" w:name="fast-frequency-response"/>
    <w:p>
      <w:pPr>
        <w:pStyle w:val="Heading6"/>
      </w:pPr>
      <w:r>
        <w:rPr>
          <w:rStyle w:val="SectionNumber"/>
        </w:rPr>
        <w:t xml:space="preserve">4.5.2.7.0.1</w:t>
      </w:r>
      <w:r>
        <w:tab/>
      </w:r>
      <w:r>
        <w:t xml:space="preserve">Fast frequency response</w:t>
      </w:r>
    </w:p>
    <w:p>
      <w:pPr>
        <w:pStyle w:val="FirstParagraph"/>
      </w:pPr>
      <w:r>
        <w:t xml:space="preserve">FFR can generally be provided within a matter of milliseconds to provide</w:t>
      </w:r>
      <w:r>
        <w:t xml:space="preserve"> </w:t>
      </w:r>
      <w:r>
        <w:t xml:space="preserve">a sustained active power response similar to PFC or to mitigate high</w:t>
      </w:r>
      <w:r>
        <w:t xml:space="preserve"> </w:t>
      </w:r>
      <w:r>
        <w:t xml:space="preserve">RoCoF events</w:t>
      </w:r>
      <w:r>
        <w:t xml:space="preserve"> </w:t>
      </w:r>
      <w:r>
        <w:t xml:space="preserve">(</w:t>
      </w:r>
      <w:hyperlink w:anchor="ref-AEMO2017a">
        <w:r>
          <w:rPr>
            <w:rStyle w:val="Hyperlink"/>
            <w:bCs/>
            <w:b/>
          </w:rPr>
          <w:t xml:space="preserve">AEMO2017a?</w:t>
        </w:r>
      </w:hyperlink>
      <w:r>
        <w:t xml:space="preserve">;</w:t>
      </w:r>
      <w:r>
        <w:t xml:space="preserve"> </w:t>
      </w:r>
      <w:hyperlink w:anchor="ref-Miller2017">
        <w:r>
          <w:rPr>
            <w:rStyle w:val="Hyperlink"/>
            <w:bCs/>
            <w:b/>
          </w:rPr>
          <w:t xml:space="preserve">Miller2017?</w:t>
        </w:r>
      </w:hyperlink>
      <w:r>
        <w:t xml:space="preserve">)</w:t>
      </w:r>
      <w:r>
        <w:t xml:space="preserve">. In response to an</w:t>
      </w:r>
      <w:r>
        <w:t xml:space="preserve"> </w:t>
      </w:r>
      <w:r>
        <w:t xml:space="preserve">under-frequency event, a sustained active power raise response, similar</w:t>
      </w:r>
      <w:r>
        <w:t xml:space="preserve"> </w:t>
      </w:r>
      <w:r>
        <w:t xml:space="preserve">to PFC, can be achieved by implementing frequency droop control in the</w:t>
      </w:r>
      <w:r>
        <w:t xml:space="preserve"> </w:t>
      </w:r>
      <w:r>
        <w:t xml:space="preserve">inverter of a BESS, or that of a variable IBR that has been</w:t>
      </w:r>
      <w:r>
        <w:t xml:space="preserve"> </w:t>
      </w:r>
      <w:r>
        <w:rPr>
          <w:iCs/>
          <w:i/>
        </w:rPr>
        <w:t xml:space="preserve">deloaded</w:t>
      </w:r>
      <w:r>
        <w:t xml:space="preserve"> </w:t>
      </w:r>
      <w:r>
        <w:t xml:space="preserve">to provide headroom. Wind turbines can be deloaded through pitch angle</w:t>
      </w:r>
      <w:r>
        <w:t xml:space="preserve"> </w:t>
      </w:r>
      <w:r>
        <w:t xml:space="preserve">or over speed control, whereas solar PV is typically deloaded through</w:t>
      </w:r>
      <w:r>
        <w:t xml:space="preserve"> </w:t>
      </w:r>
      <w:r>
        <w:t xml:space="preserve">over-voltage control</w:t>
      </w:r>
      <w:r>
        <w:t xml:space="preserve"> </w:t>
      </w:r>
      <w:r>
        <w:t xml:space="preserve">(</w:t>
      </w:r>
      <w:hyperlink w:anchor="ref-Dreidy2017">
        <w:r>
          <w:rPr>
            <w:rStyle w:val="Hyperlink"/>
            <w:bCs/>
            <w:b/>
          </w:rPr>
          <w:t xml:space="preserve">Dreidy2017?</w:t>
        </w:r>
      </w:hyperlink>
      <w:r>
        <w:t xml:space="preserve">;</w:t>
      </w:r>
      <w:r>
        <w:t xml:space="preserve"> </w:t>
      </w:r>
      <w:hyperlink w:anchor="ref-Tielens2012">
        <w:r>
          <w:rPr>
            <w:rStyle w:val="Hyperlink"/>
            <w:bCs/>
            <w:b/>
          </w:rPr>
          <w:t xml:space="preserve">Tielens2012?</w:t>
        </w:r>
      </w:hyperlink>
      <w:r>
        <w:t xml:space="preserve">;</w:t>
      </w:r>
      <w:r>
        <w:t xml:space="preserve"> </w:t>
      </w:r>
      <w:hyperlink w:anchor="ref-Fernandez-Guillamon2019a">
        <w:r>
          <w:rPr>
            <w:rStyle w:val="Hyperlink"/>
            <w:bCs/>
            <w:b/>
          </w:rPr>
          <w:t xml:space="preserve">Fernandez-Guillamon2019a?</w:t>
        </w:r>
      </w:hyperlink>
      <w:r>
        <w:t xml:space="preserve">)</w:t>
      </w:r>
      <w:r>
        <w:t xml:space="preserve">. A sustained</w:t>
      </w:r>
      <w:r>
        <w:t xml:space="preserve"> </w:t>
      </w:r>
      <w:r>
        <w:t xml:space="preserve">lower response can be delivered by operating an inverter control system</w:t>
      </w:r>
      <w:r>
        <w:t xml:space="preserve"> </w:t>
      </w:r>
      <w:r>
        <w:t xml:space="preserve">at an off-maximum power point to reduce the IBR’s active power output.</w:t>
      </w:r>
    </w:p>
    <w:p>
      <w:pPr>
        <w:pStyle w:val="BodyText"/>
      </w:pPr>
      <w:r>
        <w:t xml:space="preserve">High RoCoF can be mitigated by FFR that is delivered through processes</w:t>
      </w:r>
      <w:r>
        <w:t xml:space="preserve"> </w:t>
      </w:r>
      <w:r>
        <w:t xml:space="preserve">and controls that mimic the inertial response of a synchronous generator</w:t>
      </w:r>
      <w:r>
        <w:t xml:space="preserve"> </w:t>
      </w:r>
      <w:r>
        <w:t xml:space="preserve">(</w:t>
      </w:r>
      <w:hyperlink w:anchor="ref-Eriksson2018">
        <w:r>
          <w:rPr>
            <w:rStyle w:val="Hyperlink"/>
            <w:bCs/>
            <w:b/>
          </w:rPr>
          <w:t xml:space="preserve">Eriksson2018?</w:t>
        </w:r>
      </w:hyperlink>
      <w:r>
        <w:t xml:space="preserve">)</w:t>
      </w:r>
      <w:r>
        <w:t xml:space="preserve">. Inertia-based FFR (otherwise known as</w:t>
      </w:r>
      <w:r>
        <w:t xml:space="preserve"> </w:t>
      </w:r>
      <w:r>
        <w:rPr>
          <w:iCs/>
          <w:i/>
        </w:rPr>
        <w:t xml:space="preserve">synthetic</w:t>
      </w:r>
      <w:r>
        <w:rPr>
          <w:iCs/>
          <w:i/>
        </w:rPr>
        <w:t xml:space="preserve"> </w:t>
      </w:r>
      <w:r>
        <w:rPr>
          <w:iCs/>
          <w:i/>
        </w:rPr>
        <w:t xml:space="preserve">inertia</w:t>
      </w:r>
      <w:r>
        <w:t xml:space="preserve"> </w:t>
      </w:r>
      <w:r>
        <w:t xml:space="preserve">in the literature) is provided by extracting the kinetic energy</w:t>
      </w:r>
      <w:r>
        <w:t xml:space="preserve"> </w:t>
      </w:r>
      <w:r>
        <w:t xml:space="preserve">from a wind turbine rotor to rapidly inject active power</w:t>
      </w:r>
      <w:r>
        <w:t xml:space="preserve"> </w:t>
      </w:r>
      <w:r>
        <w:t xml:space="preserve">(</w:t>
      </w:r>
      <w:hyperlink w:anchor="ref-Miller2017">
        <w:r>
          <w:rPr>
            <w:rStyle w:val="Hyperlink"/>
            <w:bCs/>
            <w:b/>
          </w:rPr>
          <w:t xml:space="preserve">Miller2017?</w:t>
        </w:r>
      </w:hyperlink>
      <w:r>
        <w:t xml:space="preserve">)</w:t>
      </w:r>
      <w:r>
        <w:t xml:space="preserve"> </w:t>
      </w:r>
      <w:r>
        <w:t xml:space="preserve">into the power system. FFR from</w:t>
      </w:r>
      <w:r>
        <w:t xml:space="preserve"> </w:t>
      </w:r>
      <w:r>
        <w:rPr>
          <w:iCs/>
          <w:i/>
        </w:rPr>
        <w:t xml:space="preserve">virtual inertia</w:t>
      </w:r>
      <w:r>
        <w:t xml:space="preserve">, on the other hand, is</w:t>
      </w:r>
      <w:r>
        <w:t xml:space="preserve"> </w:t>
      </w:r>
      <w:r>
        <w:t xml:space="preserve">provided as the result of implementing the dynamic model of a</w:t>
      </w:r>
      <w:r>
        <w:t xml:space="preserve"> </w:t>
      </w:r>
      <w:r>
        <w:t xml:space="preserve">synchronous machine to some degree within an inverter control system</w:t>
      </w:r>
      <w:r>
        <w:t xml:space="preserve"> </w:t>
      </w:r>
      <w:r>
        <w:t xml:space="preserve">(</w:t>
      </w:r>
      <w:hyperlink w:anchor="ref-Tamrakar2017">
        <w:r>
          <w:rPr>
            <w:rStyle w:val="Hyperlink"/>
            <w:bCs/>
            <w:b/>
          </w:rPr>
          <w:t xml:space="preserve">Tamrakar2017?</w:t>
        </w:r>
      </w:hyperlink>
      <w:r>
        <w:t xml:space="preserve">;</w:t>
      </w:r>
      <w:r>
        <w:t xml:space="preserve"> </w:t>
      </w:r>
      <w:hyperlink w:anchor="ref-Anderson-Cook2013">
        <w:r>
          <w:rPr>
            <w:rStyle w:val="Hyperlink"/>
            <w:bCs/>
            <w:b/>
          </w:rPr>
          <w:t xml:space="preserve">Anderson-Cook2013?</w:t>
        </w:r>
      </w:hyperlink>
      <w:r>
        <w:t xml:space="preserve">)</w:t>
      </w:r>
      <w:r>
        <w:t xml:space="preserve">. As FFR requires some form of</w:t>
      </w:r>
      <w:r>
        <w:t xml:space="preserve"> </w:t>
      </w:r>
      <w:r>
        <w:t xml:space="preserve">measurement and is not inherent, it cannot be considered to be a direct</w:t>
      </w:r>
      <w:r>
        <w:t xml:space="preserve"> </w:t>
      </w:r>
      <w:r>
        <w:t xml:space="preserve">substitute for inertial response</w:t>
      </w:r>
      <w:r>
        <w:t xml:space="preserve"> </w:t>
      </w:r>
      <w:r>
        <w:t xml:space="preserve">(</w:t>
      </w:r>
      <w:hyperlink w:anchor="ref-Miller2017">
        <w:r>
          <w:rPr>
            <w:rStyle w:val="Hyperlink"/>
            <w:bCs/>
            <w:b/>
          </w:rPr>
          <w:t xml:space="preserve">Miller2017?</w:t>
        </w:r>
      </w:hyperlink>
      <w:r>
        <w:t xml:space="preserve">;</w:t>
      </w:r>
      <w:r>
        <w:t xml:space="preserve"> </w:t>
      </w:r>
      <w:hyperlink w:anchor="ref-AEMO2017a">
        <w:r>
          <w:rPr>
            <w:rStyle w:val="Hyperlink"/>
            <w:bCs/>
            <w:b/>
          </w:rPr>
          <w:t xml:space="preserve">AEMO2017a?</w:t>
        </w:r>
      </w:hyperlink>
      <w:r>
        <w:t xml:space="preserve">)</w:t>
      </w:r>
      <w:r>
        <w:t xml:space="preserve">.</w:t>
      </w:r>
    </w:p>
    <w:bookmarkEnd w:id="77"/>
    <w:bookmarkEnd w:id="78"/>
    <w:bookmarkEnd w:id="79"/>
    <w:bookmarkEnd w:id="80"/>
    <w:bookmarkStart w:id="111" w:name="designing-operational-practices"/>
    <w:p>
      <w:pPr>
        <w:pStyle w:val="Heading2"/>
      </w:pPr>
      <w:r>
        <w:rPr>
          <w:rStyle w:val="SectionNumber"/>
        </w:rPr>
        <w:t xml:space="preserve">4.6</w:t>
      </w:r>
      <w:r>
        <w:tab/>
      </w:r>
      <w:r>
        <w:t xml:space="preserve">Designing operational practices</w:t>
      </w:r>
    </w:p>
    <w:bookmarkStart w:id="94" w:name="sec:procurement"/>
    <w:p>
      <w:pPr>
        <w:pStyle w:val="Heading4"/>
      </w:pPr>
      <w:r>
        <w:rPr>
          <w:rStyle w:val="SectionNumber"/>
        </w:rPr>
        <w:t xml:space="preserve">4.6.0.1</w:t>
      </w:r>
      <w:r>
        <w:tab/>
      </w:r>
      <w:r>
        <w:t xml:space="preserve">Procurement of frequency control services</w:t>
      </w:r>
    </w:p>
    <w:p>
      <w:pPr>
        <w:pStyle w:val="FirstParagraph"/>
      </w:pPr>
      <w:r>
        <w:t xml:space="preserve">As highlighted by</w:t>
      </w:r>
      <w:r>
        <w:t xml:space="preserve"> </w:t>
      </w:r>
      <w:r>
        <w:t xml:space="preserve">(</w:t>
      </w:r>
      <w:hyperlink w:anchor="ref-Ela2012b">
        <w:r>
          <w:rPr>
            <w:rStyle w:val="Hyperlink"/>
            <w:bCs/>
            <w:b/>
          </w:rPr>
          <w:t xml:space="preserve">Ela2012b?</w:t>
        </w:r>
      </w:hyperlink>
      <w:r>
        <w:t xml:space="preserve">)</w:t>
      </w:r>
      <w:r>
        <w:t xml:space="preserve"> </w:t>
      </w:r>
      <w:r>
        <w:t xml:space="preserve">and</w:t>
      </w:r>
      <w:r>
        <w:t xml:space="preserve"> </w:t>
      </w:r>
      <w:r>
        <w:t xml:space="preserve">(</w:t>
      </w:r>
      <w:hyperlink w:anchor="ref-Billimoria2020">
        <w:r>
          <w:rPr>
            <w:rStyle w:val="Hyperlink"/>
            <w:bCs/>
            <w:b/>
          </w:rPr>
          <w:t xml:space="preserve">Billimoria2020?</w:t>
        </w:r>
      </w:hyperlink>
      <w:r>
        <w:t xml:space="preserve">)</w:t>
      </w:r>
      <w:r>
        <w:t xml:space="preserve">, frequency control</w:t>
      </w:r>
      <w:r>
        <w:t xml:space="preserve"> </w:t>
      </w:r>
      <w:r>
        <w:t xml:space="preserve">services are typically procured through a combination of market-based</w:t>
      </w:r>
      <w:r>
        <w:t xml:space="preserve"> </w:t>
      </w:r>
      <w:r>
        <w:t xml:space="preserve">mechanisms, such as remunerative schemes or contract or spot markets,</w:t>
      </w:r>
      <w:r>
        <w:t xml:space="preserve"> </w:t>
      </w:r>
      <w:r>
        <w:t xml:space="preserve">and regulatory mechanisms, such as connection requirements or system</w:t>
      </w:r>
      <w:r>
        <w:t xml:space="preserve"> </w:t>
      </w:r>
      <w:r>
        <w:t xml:space="preserve">operator intervention.</w:t>
      </w:r>
    </w:p>
    <w:bookmarkStart w:id="84" w:name="sec:market_mech"/>
    <w:p>
      <w:pPr>
        <w:pStyle w:val="Heading5"/>
      </w:pPr>
      <w:r>
        <w:rPr>
          <w:rStyle w:val="SectionNumber"/>
        </w:rPr>
        <w:t xml:space="preserve">4.6.0.1.1</w:t>
      </w:r>
      <w:r>
        <w:tab/>
      </w:r>
      <w:r>
        <w:t xml:space="preserve">Market-based mechanisms</w:t>
      </w:r>
    </w:p>
    <w:bookmarkStart w:id="81" w:name="suitability-of-markets"/>
    <w:p>
      <w:pPr>
        <w:pStyle w:val="Heading6"/>
      </w:pPr>
      <w:r>
        <w:rPr>
          <w:rStyle w:val="SectionNumber"/>
        </w:rPr>
        <w:t xml:space="preserve">4.6.0.1.1.1</w:t>
      </w:r>
      <w:r>
        <w:tab/>
      </w:r>
      <w:r>
        <w:t xml:space="preserve">Suitability of markets</w:t>
      </w:r>
    </w:p>
    <w:p>
      <w:pPr>
        <w:pStyle w:val="FirstParagraph"/>
      </w:pPr>
      <w:r>
        <w:t xml:space="preserve">Many restructured electricity industries have developed competitive</w:t>
      </w:r>
      <w:r>
        <w:t xml:space="preserve"> </w:t>
      </w:r>
      <w:r>
        <w:rPr>
          <w:iCs/>
          <w:i/>
        </w:rPr>
        <w:t xml:space="preserve">ancillary services</w:t>
      </w:r>
      <w:r>
        <w:t xml:space="preserve"> </w:t>
      </w:r>
      <w:r>
        <w:t xml:space="preserve">markets that enable frequency control services to</w:t>
      </w:r>
      <w:r>
        <w:t xml:space="preserve"> </w:t>
      </w:r>
      <w:r>
        <w:t xml:space="preserve">be procured alongside</w:t>
      </w:r>
      <w:r>
        <w:t xml:space="preserve"> </w:t>
      </w:r>
      <w:r>
        <w:rPr>
          <w:iCs/>
          <w:i/>
        </w:rPr>
        <w:t xml:space="preserve">primary</w:t>
      </w:r>
      <w:r>
        <w:t xml:space="preserve"> </w:t>
      </w:r>
      <w:r>
        <w:t xml:space="preserve">markets for energy and/or capacity</w:t>
      </w:r>
      <w:r>
        <w:t xml:space="preserve"> </w:t>
      </w:r>
      <w:r>
        <w:t xml:space="preserve">provision. Competitive markets are a suitable mechanism for procuring</w:t>
      </w:r>
      <w:r>
        <w:t xml:space="preserve"> </w:t>
      </w:r>
      <w:r>
        <w:t xml:space="preserve">frequency control services as AC frequency is a global parameter and, as</w:t>
      </w:r>
      <w:r>
        <w:t xml:space="preserve"> </w:t>
      </w:r>
      <w:r>
        <w:t xml:space="preserve">such, frequency control services can be provided by any capable resource</w:t>
      </w:r>
      <w:r>
        <w:t xml:space="preserve"> </w:t>
      </w:r>
      <w:r>
        <w:t xml:space="preserve">within a synchronous area</w:t>
      </w:r>
      <w:r>
        <w:t xml:space="preserve"> </w:t>
      </w:r>
      <w:r>
        <w:t xml:space="preserve">(</w:t>
      </w:r>
      <w:hyperlink w:anchor="ref-Billimoria2020">
        <w:r>
          <w:rPr>
            <w:rStyle w:val="Hyperlink"/>
            <w:bCs/>
            <w:b/>
          </w:rPr>
          <w:t xml:space="preserve">Billimoria2020?</w:t>
        </w:r>
      </w:hyperlink>
      <w:r>
        <w:t xml:space="preserve">;</w:t>
      </w:r>
      <w:r>
        <w:t xml:space="preserve"> </w:t>
      </w:r>
      <w:hyperlink w:anchor="ref-Hirst1998">
        <w:r>
          <w:rPr>
            <w:rStyle w:val="Hyperlink"/>
            <w:bCs/>
            <w:b/>
          </w:rPr>
          <w:t xml:space="preserve">Hirst1998?</w:t>
        </w:r>
      </w:hyperlink>
      <w:r>
        <w:t xml:space="preserve">)</w:t>
      </w:r>
      <w:r>
        <w:t xml:space="preserve">. This supports</w:t>
      </w:r>
      <w:r>
        <w:t xml:space="preserve"> </w:t>
      </w:r>
      <w:r>
        <w:t xml:space="preserve">greater participation and competition in frequency control markets.</w:t>
      </w:r>
      <w:r>
        <w:t xml:space="preserve"> </w:t>
      </w:r>
      <w:r>
        <w:t xml:space="preserve">Furthermore, frequency control services and energy are essentially the</w:t>
      </w:r>
      <w:r>
        <w:t xml:space="preserve"> </w:t>
      </w:r>
      <w:r>
        <w:t xml:space="preserve">same commodity (active power) but differentiated by their delivery</w:t>
      </w:r>
      <w:r>
        <w:t xml:space="preserve"> </w:t>
      </w:r>
      <w:r>
        <w:t xml:space="preserve">methods, with the former providing reserve capacity that responds in the</w:t>
      </w:r>
      <w:r>
        <w:t xml:space="preserve"> </w:t>
      </w:r>
      <w:r>
        <w:t xml:space="preserve">event of a frequency deviation and the latter providing sustained</w:t>
      </w:r>
      <w:r>
        <w:t xml:space="preserve"> </w:t>
      </w:r>
      <w:r>
        <w:t xml:space="preserve">delivery of active power during a market interval. Given that these</w:t>
      </w:r>
      <w:r>
        <w:t xml:space="preserve"> </w:t>
      </w:r>
      <w:r>
        <w:t xml:space="preserve">products are related, there are benefits related to reducing overall</w:t>
      </w:r>
      <w:r>
        <w:t xml:space="preserve"> </w:t>
      </w:r>
      <w:r>
        <w:t xml:space="preserve">system costs, incentivising frequency control provision and improving</w:t>
      </w:r>
      <w:r>
        <w:t xml:space="preserve"> </w:t>
      </w:r>
      <w:r>
        <w:t xml:space="preserve">trade outcomes for market participants by</w:t>
      </w:r>
      <w:r>
        <w:t xml:space="preserve"> </w:t>
      </w:r>
      <w:r>
        <w:rPr>
          <w:iCs/>
          <w:i/>
        </w:rPr>
        <w:t xml:space="preserve">co-optimising</w:t>
      </w:r>
      <w:r>
        <w:t xml:space="preserve"> </w:t>
      </w:r>
      <w:r>
        <w:t xml:space="preserve">markets for</w:t>
      </w:r>
      <w:r>
        <w:t xml:space="preserve"> </w:t>
      </w:r>
      <w:r>
        <w:t xml:space="preserve">energy and frequency control services</w:t>
      </w:r>
      <w:r>
        <w:t xml:space="preserve"> </w:t>
      </w:r>
      <w:r>
        <w:t xml:space="preserve">(</w:t>
      </w:r>
      <w:hyperlink w:anchor="ref-Ela2016">
        <w:r>
          <w:rPr>
            <w:rStyle w:val="Hyperlink"/>
            <w:bCs/>
            <w:b/>
          </w:rPr>
          <w:t xml:space="preserve">Ela2016?</w:t>
        </w:r>
      </w:hyperlink>
      <w:r>
        <w:t xml:space="preserve">)</w:t>
      </w:r>
      <w:r>
        <w:t xml:space="preserve">.</w:t>
      </w:r>
    </w:p>
    <w:bookmarkEnd w:id="81"/>
    <w:bookmarkStart w:id="82" w:name="opportunity-costs-and-co-optimisation"/>
    <w:p>
      <w:pPr>
        <w:pStyle w:val="Heading6"/>
      </w:pPr>
      <w:r>
        <w:rPr>
          <w:rStyle w:val="SectionNumber"/>
        </w:rPr>
        <w:t xml:space="preserve">4.6.0.1.1.2</w:t>
      </w:r>
      <w:r>
        <w:tab/>
      </w:r>
      <w:r>
        <w:t xml:space="preserve">Opportunity costs and co-optimisation</w:t>
      </w:r>
    </w:p>
    <w:p>
      <w:pPr>
        <w:pStyle w:val="FirstParagraph"/>
      </w:pPr>
      <w:r>
        <w:t xml:space="preserve">To provide raise frequency control services, generation must allocate</w:t>
      </w:r>
      <w:r>
        <w:t xml:space="preserve"> </w:t>
      </w:r>
      <w:r>
        <w:t xml:space="preserve">reserve capacity, which may be at the expense of profitable energy</w:t>
      </w:r>
      <w:r>
        <w:t xml:space="preserve"> </w:t>
      </w:r>
      <w:r>
        <w:t xml:space="preserve">provision</w:t>
      </w:r>
      <w:r>
        <w:t xml:space="preserve"> </w:t>
      </w:r>
      <w:r>
        <w:t xml:space="preserve">(</w:t>
      </w:r>
      <w:hyperlink w:anchor="ref-Raineri2006">
        <w:r>
          <w:rPr>
            <w:rStyle w:val="Hyperlink"/>
            <w:bCs/>
            <w:b/>
          </w:rPr>
          <w:t xml:space="preserve">Raineri2006?</w:t>
        </w:r>
      </w:hyperlink>
      <w:r>
        <w:t xml:space="preserve">)</w:t>
      </w:r>
      <w:r>
        <w:t xml:space="preserve">. As such, participation in ancillary services</w:t>
      </w:r>
      <w:r>
        <w:t xml:space="preserve"> </w:t>
      </w:r>
      <w:r>
        <w:t xml:space="preserve">markets often entails an</w:t>
      </w:r>
      <w:r>
        <w:t xml:space="preserve"> </w:t>
      </w:r>
      <w:r>
        <w:rPr>
          <w:iCs/>
          <w:i/>
        </w:rPr>
        <w:t xml:space="preserve">opportunity cost</w:t>
      </w:r>
      <w:r>
        <w:t xml:space="preserve"> </w:t>
      </w:r>
      <w:r>
        <w:t xml:space="preserve">to market participants.</w:t>
      </w:r>
      <w:r>
        <w:t xml:space="preserve"> </w:t>
      </w:r>
      <w:r>
        <w:t xml:space="preserve">While frequency control services markets are often co-optimised with</w:t>
      </w:r>
      <w:r>
        <w:t xml:space="preserve"> </w:t>
      </w:r>
      <w:r>
        <w:t xml:space="preserve">energy markets to ensure that power system energy supply and security</w:t>
      </w:r>
      <w:r>
        <w:t xml:space="preserve"> </w:t>
      </w:r>
      <w:r>
        <w:t xml:space="preserve">requirements are met at the lowest cost to the system, participant</w:t>
      </w:r>
      <w:r>
        <w:t xml:space="preserve"> </w:t>
      </w:r>
      <w:r>
        <w:t xml:space="preserve">opportunity costs can be accounted for in two ways in mandatory pool</w:t>
      </w:r>
      <w:r>
        <w:t xml:space="preserve"> </w:t>
      </w:r>
      <w:r>
        <w:t xml:space="preserve">electricity markets:</w:t>
      </w:r>
    </w:p>
    <w:p>
      <w:pPr>
        <w:numPr>
          <w:ilvl w:val="0"/>
          <w:numId w:val="1004"/>
        </w:numPr>
      </w:pPr>
      <w:r>
        <w:t xml:space="preserve">In</w:t>
      </w:r>
      <w:r>
        <w:t xml:space="preserve"> </w:t>
      </w:r>
      <w:r>
        <w:rPr>
          <w:iCs/>
          <w:i/>
        </w:rPr>
        <w:t xml:space="preserve">partially co-optimised</w:t>
      </w:r>
      <w:r>
        <w:t xml:space="preserve"> </w:t>
      </w:r>
      <w:r>
        <w:t xml:space="preserve">frequency control services markets,</w:t>
      </w:r>
      <w:r>
        <w:t xml:space="preserve"> </w:t>
      </w:r>
      <w:r>
        <w:t xml:space="preserve">perceived opportunity costs are incorporated into bids by market</w:t>
      </w:r>
      <w:r>
        <w:t xml:space="preserve"> </w:t>
      </w:r>
      <w:r>
        <w:t xml:space="preserve">participant. The procurement of frequency control services and</w:t>
      </w:r>
      <w:r>
        <w:t xml:space="preserve"> </w:t>
      </w:r>
      <w:r>
        <w:t xml:space="preserve">energy is co-optimised by the system operator in SCUC and/or SCED,</w:t>
      </w:r>
      <w:r>
        <w:t xml:space="preserve"> </w:t>
      </w:r>
      <w:r>
        <w:t xml:space="preserve">thereby minimising overall costs to the system</w:t>
      </w:r>
      <w:r>
        <w:t xml:space="preserve"> </w:t>
      </w:r>
      <w:r>
        <w:t xml:space="preserve">(</w:t>
      </w:r>
      <w:hyperlink w:anchor="ref-Isemonger2009">
        <w:r>
          <w:rPr>
            <w:rStyle w:val="Hyperlink"/>
            <w:bCs/>
            <w:b/>
          </w:rPr>
          <w:t xml:space="preserve">Isemonger2009?</w:t>
        </w:r>
      </w:hyperlink>
      <w:r>
        <w:t xml:space="preserve">)</w:t>
      </w:r>
      <w:r>
        <w:t xml:space="preserve">.</w:t>
      </w:r>
    </w:p>
    <w:p>
      <w:pPr>
        <w:numPr>
          <w:ilvl w:val="0"/>
          <w:numId w:val="1004"/>
        </w:numPr>
      </w:pPr>
      <w:r>
        <w:t xml:space="preserve">In</w:t>
      </w:r>
      <w:r>
        <w:t xml:space="preserve"> </w:t>
      </w:r>
      <w:r>
        <w:rPr>
          <w:iCs/>
          <w:i/>
        </w:rPr>
        <w:t xml:space="preserve">fully co-optimised</w:t>
      </w:r>
      <w:r>
        <w:t xml:space="preserve"> </w:t>
      </w:r>
      <w:r>
        <w:t xml:space="preserve">frequency control services markets, market</w:t>
      </w:r>
      <w:r>
        <w:t xml:space="preserve"> </w:t>
      </w:r>
      <w:r>
        <w:t xml:space="preserve">participants submit bids for energy and frequency control services</w:t>
      </w:r>
      <w:r>
        <w:t xml:space="preserve"> </w:t>
      </w:r>
      <w:r>
        <w:t xml:space="preserve">provision. The system operator then determines a price for frequency</w:t>
      </w:r>
      <w:r>
        <w:t xml:space="preserve"> </w:t>
      </w:r>
      <w:r>
        <w:t xml:space="preserve">control services that is the sum of the bid offer and the</w:t>
      </w:r>
      <w:r>
        <w:t xml:space="preserve"> </w:t>
      </w:r>
      <w:r>
        <w:t xml:space="preserve">opportunity cost of that resource foregoing provision of energy or</w:t>
      </w:r>
      <w:r>
        <w:t xml:space="preserve"> </w:t>
      </w:r>
      <w:r>
        <w:t xml:space="preserve">other services. The system operator can then co-optimise all bids</w:t>
      </w:r>
      <w:r>
        <w:t xml:space="preserve"> </w:t>
      </w:r>
      <w:r>
        <w:t xml:space="preserve">and costs in SCUC and/or SCED so as to simultaneously maximise</w:t>
      </w:r>
      <w:r>
        <w:t xml:space="preserve"> </w:t>
      </w:r>
      <w:r>
        <w:t xml:space="preserve">profit for market participants whilst minimising overall costs to</w:t>
      </w:r>
      <w:r>
        <w:t xml:space="preserve"> </w:t>
      </w:r>
      <w:r>
        <w:t xml:space="preserve">the system</w:t>
      </w:r>
      <w:r>
        <w:t xml:space="preserve"> </w:t>
      </w:r>
      <w:r>
        <w:t xml:space="preserve">(</w:t>
      </w:r>
      <w:hyperlink w:anchor="ref-Ela2012a">
        <w:r>
          <w:rPr>
            <w:rStyle w:val="Hyperlink"/>
            <w:bCs/>
            <w:b/>
          </w:rPr>
          <w:t xml:space="preserve">Ela2012a?</w:t>
        </w:r>
      </w:hyperlink>
      <w:r>
        <w:t xml:space="preserve">;</w:t>
      </w:r>
      <w:r>
        <w:t xml:space="preserve"> </w:t>
      </w:r>
      <w:hyperlink w:anchor="ref-IntelligentEnergySystems2010a">
        <w:r>
          <w:rPr>
            <w:rStyle w:val="Hyperlink"/>
            <w:bCs/>
            <w:b/>
          </w:rPr>
          <w:t xml:space="preserve">IntelligentEnergySystems2010a?</w:t>
        </w:r>
      </w:hyperlink>
      <w:r>
        <w:t xml:space="preserve">)</w:t>
      </w:r>
      <w:r>
        <w:t xml:space="preserve">.</w:t>
      </w:r>
    </w:p>
    <w:bookmarkEnd w:id="82"/>
    <w:bookmarkStart w:id="83" w:name="Xcf548b7512fcfb3a090e3412be6584690254300"/>
    <w:p>
      <w:pPr>
        <w:pStyle w:val="Heading6"/>
      </w:pPr>
      <w:r>
        <w:rPr>
          <w:rStyle w:val="SectionNumber"/>
        </w:rPr>
        <w:t xml:space="preserve">4.6.0.1.1.3</w:t>
      </w:r>
      <w:r>
        <w:tab/>
      </w:r>
      <w:r>
        <w:t xml:space="preserve">Potential benefits of market-based mechanisms</w:t>
      </w:r>
    </w:p>
    <w:p>
      <w:pPr>
        <w:pStyle w:val="FirstParagraph"/>
      </w:pPr>
      <w:r>
        <w:t xml:space="preserve">Compensation for frequency control services addresses the externality of</w:t>
      </w:r>
      <w:r>
        <w:t xml:space="preserve"> </w:t>
      </w:r>
      <w:r>
        <w:t xml:space="preserve">providing ancillary services, particularly if the compensation is</w:t>
      </w:r>
      <w:r>
        <w:t xml:space="preserve"> </w:t>
      </w:r>
      <w:r>
        <w:t xml:space="preserve">aligned with a market participant’s opportunity costs</w:t>
      </w:r>
      <w:r>
        <w:t xml:space="preserve"> </w:t>
      </w:r>
      <w:r>
        <w:t xml:space="preserve">(</w:t>
      </w:r>
      <w:hyperlink w:anchor="ref-Rebours2007b">
        <w:r>
          <w:rPr>
            <w:rStyle w:val="Hyperlink"/>
            <w:bCs/>
            <w:b/>
          </w:rPr>
          <w:t xml:space="preserve">Rebours2007b?</w:t>
        </w:r>
      </w:hyperlink>
      <w:r>
        <w:t xml:space="preserve">)</w:t>
      </w:r>
      <w:r>
        <w:t xml:space="preserve">.</w:t>
      </w:r>
      <w:r>
        <w:t xml:space="preserve"> </w:t>
      </w:r>
      <w:r>
        <w:t xml:space="preserve">Furthermore, if compensation is delivered through market-based</w:t>
      </w:r>
      <w:r>
        <w:t xml:space="preserve"> </w:t>
      </w:r>
      <w:r>
        <w:t xml:space="preserve">mechanisms and if these mechanisms are designed well, frequency control</w:t>
      </w:r>
      <w:r>
        <w:t xml:space="preserve"> </w:t>
      </w:r>
      <w:r>
        <w:t xml:space="preserve">services can be procured at least cost to the system from resources that</w:t>
      </w:r>
      <w:r>
        <w:t xml:space="preserve"> </w:t>
      </w:r>
      <w:r>
        <w:t xml:space="preserve">are best placed to provide them within an operational timeframe</w:t>
      </w:r>
      <w:r>
        <w:t xml:space="preserve"> </w:t>
      </w:r>
      <w:r>
        <w:t xml:space="preserve">(</w:t>
      </w:r>
      <w:r>
        <w:rPr>
          <w:iCs/>
          <w:i/>
        </w:rPr>
        <w:t xml:space="preserve">productive</w:t>
      </w:r>
      <w:r>
        <w:t xml:space="preserve"> </w:t>
      </w:r>
      <w:r>
        <w:t xml:space="preserve">efficiency) and spur efficient investment in frequency</w:t>
      </w:r>
      <w:r>
        <w:t xml:space="preserve"> </w:t>
      </w:r>
      <w:r>
        <w:t xml:space="preserve">control capabilities by market participants into the future (</w:t>
      </w:r>
      <w:r>
        <w:rPr>
          <w:iCs/>
          <w:i/>
        </w:rPr>
        <w:t xml:space="preserve">dynamic</w:t>
      </w:r>
      <w:r>
        <w:t xml:space="preserve"> </w:t>
      </w:r>
      <w:r>
        <w:t xml:space="preserve">efficiency)</w:t>
      </w:r>
      <w:r>
        <w:t xml:space="preserve"> </w:t>
      </w:r>
      <w:r>
        <w:t xml:space="preserve">(</w:t>
      </w:r>
      <w:hyperlink w:anchor="ref-Thorncraft2007">
        <w:r>
          <w:rPr>
            <w:rStyle w:val="Hyperlink"/>
            <w:bCs/>
            <w:b/>
          </w:rPr>
          <w:t xml:space="preserve">Thorncraft2007?</w:t>
        </w:r>
      </w:hyperlink>
      <w:r>
        <w:t xml:space="preserve">;</w:t>
      </w:r>
      <w:r>
        <w:t xml:space="preserve"> </w:t>
      </w:r>
      <w:hyperlink w:anchor="ref-Riesz2015b">
        <w:r>
          <w:rPr>
            <w:rStyle w:val="Hyperlink"/>
            <w:bCs/>
            <w:b/>
          </w:rPr>
          <w:t xml:space="preserve">Riesz2015b?</w:t>
        </w:r>
      </w:hyperlink>
      <w:r>
        <w:t xml:space="preserve">;</w:t>
      </w:r>
      <w:r>
        <w:t xml:space="preserve"> </w:t>
      </w:r>
      <w:hyperlink w:anchor="ref-Biggar2014TheMarkets">
        <w:r>
          <w:rPr>
            <w:rStyle w:val="Hyperlink"/>
            <w:bCs/>
            <w:b/>
          </w:rPr>
          <w:t xml:space="preserve">Biggar2014TheMarkets?</w:t>
        </w:r>
      </w:hyperlink>
      <w:r>
        <w:t xml:space="preserve">;</w:t>
      </w:r>
      <w:r>
        <w:t xml:space="preserve"> </w:t>
      </w:r>
      <w:hyperlink w:anchor="X807143375c276e39c7b29baa6194370d05520d0">
        <w:r>
          <w:rPr>
            <w:rStyle w:val="Hyperlink"/>
            <w:bCs/>
            <w:b/>
          </w:rPr>
          <w:t xml:space="preserve">AustralianEnergyMarketCommission2020a?</w:t>
        </w:r>
      </w:hyperlink>
      <w:r>
        <w:t xml:space="preserve">)</w:t>
      </w:r>
      <w:r>
        <w:t xml:space="preserve">.</w:t>
      </w:r>
    </w:p>
    <w:bookmarkEnd w:id="83"/>
    <w:bookmarkEnd w:id="84"/>
    <w:bookmarkStart w:id="89" w:name="sec:challgnes_fcas_markets"/>
    <w:p>
      <w:pPr>
        <w:pStyle w:val="Heading5"/>
      </w:pPr>
      <w:r>
        <w:rPr>
          <w:rStyle w:val="SectionNumber"/>
        </w:rPr>
        <w:t xml:space="preserve">4.6.0.1.2</w:t>
      </w:r>
      <w:r>
        <w:tab/>
      </w:r>
      <w:r>
        <w:t xml:space="preserve">Challenges in frequency control services markets</w:t>
      </w:r>
    </w:p>
    <w:p>
      <w:pPr>
        <w:pStyle w:val="FirstParagraph"/>
      </w:pPr>
      <w:r>
        <w:t xml:space="preserve">Frequency control services markets face both existing and emerging</w:t>
      </w:r>
      <w:r>
        <w:t xml:space="preserve"> </w:t>
      </w:r>
      <w:r>
        <w:t xml:space="preserve">challenges to achieving productive and dynamically efficient outcomes.</w:t>
      </w:r>
      <w:r>
        <w:t xml:space="preserve"> </w:t>
      </w:r>
      <w:r>
        <w:t xml:space="preserve">The main challenges being faced in these markets are outlined below:</w:t>
      </w:r>
    </w:p>
    <w:bookmarkStart w:id="85" w:name="product-design-and-fungibility."/>
    <w:p>
      <w:pPr>
        <w:pStyle w:val="Heading6"/>
      </w:pPr>
      <w:r>
        <w:rPr>
          <w:rStyle w:val="SectionNumber"/>
        </w:rPr>
        <w:t xml:space="preserve">4.6.0.1.2.1</w:t>
      </w:r>
      <w:r>
        <w:tab/>
      </w:r>
      <w:r>
        <w:t xml:space="preserve">Product design and fungibility.</w:t>
      </w:r>
    </w:p>
    <w:p>
      <w:pPr>
        <w:pStyle w:val="FirstParagraph"/>
      </w:pPr>
      <w:r>
        <w:t xml:space="preserve">Products in existing frequency control services markets generally</w:t>
      </w:r>
      <w:r>
        <w:t xml:space="preserve"> </w:t>
      </w:r>
      <w:r>
        <w:t xml:space="preserve">reflect the capabilities and requirements of conventional frequency</w:t>
      </w:r>
      <w:r>
        <w:t xml:space="preserve"> </w:t>
      </w:r>
      <w:r>
        <w:t xml:space="preserve">control provided by synchronous generators</w:t>
      </w:r>
      <w:r>
        <w:t xml:space="preserve"> </w:t>
      </w:r>
      <w:r>
        <w:t xml:space="preserve">(</w:t>
      </w:r>
      <w:hyperlink w:anchor="ref-EU-SysFlex2019">
        <w:r>
          <w:rPr>
            <w:rStyle w:val="Hyperlink"/>
            <w:bCs/>
            <w:b/>
          </w:rPr>
          <w:t xml:space="preserve">EU-SysFlex2019?</w:t>
        </w:r>
      </w:hyperlink>
      <w:r>
        <w:t xml:space="preserve">)</w:t>
      </w:r>
      <w:r>
        <w:t xml:space="preserve">. As</w:t>
      </w:r>
      <w:r>
        <w:t xml:space="preserve"> </w:t>
      </w:r>
      <w:r>
        <w:t xml:space="preserve">frequency control abilities and needs have changed over time, various</w:t>
      </w:r>
      <w:r>
        <w:t xml:space="preserve"> </w:t>
      </w:r>
      <w:r>
        <w:t xml:space="preserve">jurisdictions have considered or created additional frequency control</w:t>
      </w:r>
      <w:r>
        <w:t xml:space="preserve"> </w:t>
      </w:r>
      <w:r>
        <w:t xml:space="preserve">services. These include ramping products, which have been implemented in</w:t>
      </w:r>
      <w:r>
        <w:t xml:space="preserve"> </w:t>
      </w:r>
      <w:r>
        <w:t xml:space="preserve">some ISO/RTO markets in response to increasing variability and</w:t>
      </w:r>
      <w:r>
        <w:t xml:space="preserve"> </w:t>
      </w:r>
      <w:r>
        <w:t xml:space="preserve">uncertainty</w:t>
      </w:r>
      <w:r>
        <w:t xml:space="preserve"> </w:t>
      </w:r>
      <w:r>
        <w:t xml:space="preserve">(</w:t>
      </w:r>
      <w:hyperlink w:anchor="ref-Ela2019">
        <w:r>
          <w:rPr>
            <w:rStyle w:val="Hyperlink"/>
            <w:bCs/>
            <w:b/>
          </w:rPr>
          <w:t xml:space="preserve">Ela2019?</w:t>
        </w:r>
      </w:hyperlink>
      <w:r>
        <w:t xml:space="preserve">;</w:t>
      </w:r>
      <w:r>
        <w:t xml:space="preserve"> </w:t>
      </w:r>
      <w:hyperlink w:anchor="ref-Ela2017">
        <w:r>
          <w:rPr>
            <w:rStyle w:val="Hyperlink"/>
            <w:bCs/>
            <w:b/>
          </w:rPr>
          <w:t xml:space="preserve">Ela2017?</w:t>
        </w:r>
      </w:hyperlink>
      <w:r>
        <w:t xml:space="preserve">)</w:t>
      </w:r>
      <w:r>
        <w:t xml:space="preserve">, FFR products to mitigate RoCoF</w:t>
      </w:r>
      <w:r>
        <w:t xml:space="preserve"> </w:t>
      </w:r>
      <w:r>
        <w:t xml:space="preserve">(</w:t>
      </w:r>
      <w:hyperlink w:anchor="ref-Ela2019">
        <w:r>
          <w:rPr>
            <w:rStyle w:val="Hyperlink"/>
            <w:bCs/>
            <w:b/>
          </w:rPr>
          <w:t xml:space="preserve">Ela2019?</w:t>
        </w:r>
      </w:hyperlink>
      <w:r>
        <w:t xml:space="preserve">;</w:t>
      </w:r>
      <w:r>
        <w:t xml:space="preserve"> </w:t>
      </w:r>
      <w:hyperlink w:anchor="ref-Fernandez-Munoz2020">
        <w:r>
          <w:rPr>
            <w:rStyle w:val="Hyperlink"/>
            <w:bCs/>
            <w:b/>
          </w:rPr>
          <w:t xml:space="preserve">Fernandez-Munoz2020?</w:t>
        </w:r>
      </w:hyperlink>
      <w:r>
        <w:t xml:space="preserve">)</w:t>
      </w:r>
      <w:r>
        <w:t xml:space="preserve"> </w:t>
      </w:r>
      <w:r>
        <w:t xml:space="preserve">and TFC or operating reserves where</w:t>
      </w:r>
      <w:r>
        <w:t xml:space="preserve"> </w:t>
      </w:r>
      <w:r>
        <w:t xml:space="preserve">operating reserve margins are a concern to the system operator</w:t>
      </w:r>
      <w:r>
        <w:t xml:space="preserve"> </w:t>
      </w:r>
      <w:r>
        <w:t xml:space="preserve">(</w:t>
      </w:r>
      <w:hyperlink w:anchor="ref-EnergySecurityBoard2020">
        <w:r>
          <w:rPr>
            <w:rStyle w:val="Hyperlink"/>
            <w:bCs/>
            <w:b/>
          </w:rPr>
          <w:t xml:space="preserve">EnergySecurityBoard2020?</w:t>
        </w:r>
      </w:hyperlink>
      <w:r>
        <w:t xml:space="preserve">)</w:t>
      </w:r>
      <w:r>
        <w:t xml:space="preserve">.</w:t>
      </w:r>
    </w:p>
    <w:p>
      <w:pPr>
        <w:pStyle w:val="BodyText"/>
      </w:pPr>
      <w:r>
        <w:t xml:space="preserve">Furthermore, there are trade-offs associated with the separation and</w:t>
      </w:r>
      <w:r>
        <w:t xml:space="preserve"> </w:t>
      </w:r>
      <w:r>
        <w:rPr>
          <w:iCs/>
          <w:i/>
        </w:rPr>
        <w:t xml:space="preserve">fungibility</w:t>
      </w:r>
      <w:r>
        <w:t xml:space="preserve"> </w:t>
      </w:r>
      <w:r>
        <w:t xml:space="preserve">of both existing and new frequency control products.</w:t>
      </w:r>
      <w:r>
        <w:t xml:space="preserve"> </w:t>
      </w:r>
      <w:r>
        <w:t xml:space="preserve">Market-based mechanisms will work best when a particular frequency</w:t>
      </w:r>
      <w:r>
        <w:t xml:space="preserve"> </w:t>
      </w:r>
      <w:r>
        <w:t xml:space="preserve">control product is a fungible and well defined, or</w:t>
      </w:r>
      <w:r>
        <w:t xml:space="preserve"> </w:t>
      </w:r>
      <w:r>
        <w:t xml:space="preserve">“</w:t>
      </w:r>
      <w:r>
        <w:t xml:space="preserve">discrete</w:t>
      </w:r>
      <w:r>
        <w:t xml:space="preserve">”</w:t>
      </w:r>
      <w:r>
        <w:t xml:space="preserve">, commodity</w:t>
      </w:r>
      <w:r>
        <w:t xml:space="preserve"> </w:t>
      </w:r>
      <w:r>
        <w:t xml:space="preserve">supplied by various providers</w:t>
      </w:r>
      <w:r>
        <w:t xml:space="preserve"> </w:t>
      </w:r>
      <w:r>
        <w:t xml:space="preserve">(</w:t>
      </w:r>
      <w:hyperlink w:anchor="ref-Gimon2020">
        <w:r>
          <w:rPr>
            <w:rStyle w:val="Hyperlink"/>
            <w:bCs/>
            <w:b/>
          </w:rPr>
          <w:t xml:space="preserve">Gimon2020?</w:t>
        </w:r>
      </w:hyperlink>
      <w:r>
        <w:t xml:space="preserve">)</w:t>
      </w:r>
      <w:r>
        <w:t xml:space="preserve">. With a sufficiently large</w:t>
      </w:r>
      <w:r>
        <w:t xml:space="preserve"> </w:t>
      </w:r>
      <w:r>
        <w:t xml:space="preserve">market, prices should reflect the costs incurred by various providers to</w:t>
      </w:r>
      <w:r>
        <w:t xml:space="preserve"> </w:t>
      </w:r>
      <w:r>
        <w:t xml:space="preserve">provide such a service</w:t>
      </w:r>
      <w:r>
        <w:t xml:space="preserve"> </w:t>
      </w:r>
      <w:r>
        <w:t xml:space="preserve">(</w:t>
      </w:r>
      <w:hyperlink w:anchor="ref-Ela2012b">
        <w:r>
          <w:rPr>
            <w:rStyle w:val="Hyperlink"/>
            <w:bCs/>
            <w:b/>
          </w:rPr>
          <w:t xml:space="preserve">Ela2012b?</w:t>
        </w:r>
      </w:hyperlink>
      <w:r>
        <w:t xml:space="preserve">)</w:t>
      </w:r>
      <w:r>
        <w:t xml:space="preserve">. This, however, ignores the wide</w:t>
      </w:r>
      <w:r>
        <w:t xml:space="preserve"> </w:t>
      </w:r>
      <w:r>
        <w:t xml:space="preserve">“</w:t>
      </w:r>
      <w:r>
        <w:t xml:space="preserve">spectrum</w:t>
      </w:r>
      <w:r>
        <w:t xml:space="preserve">”</w:t>
      </w:r>
      <w:r>
        <w:t xml:space="preserve"> </w:t>
      </w:r>
      <w:r>
        <w:t xml:space="preserve">of technical capabilities of power system resources with</w:t>
      </w:r>
      <w:r>
        <w:t xml:space="preserve"> </w:t>
      </w:r>
      <w:r>
        <w:t xml:space="preserve">respect to frequency control.</w:t>
      </w:r>
    </w:p>
    <w:p>
      <w:pPr>
        <w:pStyle w:val="BodyText"/>
      </w:pPr>
      <w:r>
        <w:t xml:space="preserve">Understanding the trade-offs in creating fungible new products is</w:t>
      </w:r>
      <w:r>
        <w:t xml:space="preserve"> </w:t>
      </w:r>
      <w:r>
        <w:t xml:space="preserve">important to frequency control service market design. For example, while</w:t>
      </w:r>
      <w:r>
        <w:t xml:space="preserve"> </w:t>
      </w:r>
      <w:r>
        <w:t xml:space="preserve">a new product may value and incentivise the provision of a particular</w:t>
      </w:r>
      <w:r>
        <w:t xml:space="preserve"> </w:t>
      </w:r>
      <w:r>
        <w:t xml:space="preserve">frequency response</w:t>
      </w:r>
      <w:r>
        <w:t xml:space="preserve"> </w:t>
      </w:r>
      <w:r>
        <w:t xml:space="preserve">(</w:t>
      </w:r>
      <w:hyperlink w:anchor="ref-Ela2012b">
        <w:r>
          <w:rPr>
            <w:rStyle w:val="Hyperlink"/>
            <w:bCs/>
            <w:b/>
          </w:rPr>
          <w:t xml:space="preserve">Ela2012b?</w:t>
        </w:r>
      </w:hyperlink>
      <w:r>
        <w:t xml:space="preserve">)</w:t>
      </w:r>
      <w:r>
        <w:t xml:space="preserve">, a market may not deliver a net benefit</w:t>
      </w:r>
      <w:r>
        <w:t xml:space="preserve"> </w:t>
      </w:r>
      <w:r>
        <w:t xml:space="preserve">if there is limited competition or the costs and complexity of</w:t>
      </w:r>
      <w:r>
        <w:t xml:space="preserve"> </w:t>
      </w:r>
      <w:r>
        <w:t xml:space="preserve">administering a market are significant</w:t>
      </w:r>
      <w:r>
        <w:t xml:space="preserve"> </w:t>
      </w:r>
      <w:r>
        <w:t xml:space="preserve">(</w:t>
      </w:r>
      <w:hyperlink w:anchor="ref-Rebours2007b">
        <w:r>
          <w:rPr>
            <w:rStyle w:val="Hyperlink"/>
            <w:bCs/>
            <w:b/>
          </w:rPr>
          <w:t xml:space="preserve">Rebours2007b?</w:t>
        </w:r>
      </w:hyperlink>
      <w:r>
        <w:t xml:space="preserve">;</w:t>
      </w:r>
      <w:r>
        <w:t xml:space="preserve"> </w:t>
      </w:r>
      <w:hyperlink w:anchor="ref-Ela2019">
        <w:r>
          <w:rPr>
            <w:rStyle w:val="Hyperlink"/>
            <w:bCs/>
            <w:b/>
          </w:rPr>
          <w:t xml:space="preserve">Ela2019?</w:t>
        </w:r>
      </w:hyperlink>
      <w:r>
        <w:t xml:space="preserve">)</w:t>
      </w:r>
      <w:r>
        <w:t xml:space="preserve">.</w:t>
      </w:r>
    </w:p>
    <w:bookmarkEnd w:id="85"/>
    <w:bookmarkStart w:id="86" w:name="price-formation."/>
    <w:p>
      <w:pPr>
        <w:pStyle w:val="Heading6"/>
      </w:pPr>
      <w:r>
        <w:rPr>
          <w:rStyle w:val="SectionNumber"/>
        </w:rPr>
        <w:t xml:space="preserve">4.6.0.1.2.2</w:t>
      </w:r>
      <w:r>
        <w:tab/>
      </w:r>
      <w:r>
        <w:t xml:space="preserve">Price formation.</w:t>
      </w:r>
    </w:p>
    <w:p>
      <w:pPr>
        <w:pStyle w:val="FirstParagraph"/>
      </w:pPr>
      <w:r>
        <w:t xml:space="preserve">Price formation is an unresolved issue within frequency control services</w:t>
      </w:r>
      <w:r>
        <w:t xml:space="preserve"> </w:t>
      </w:r>
      <w:r>
        <w:t xml:space="preserve">market design. Ideally, the price of provision should be explicit,</w:t>
      </w:r>
      <w:r>
        <w:t xml:space="preserve"> </w:t>
      </w:r>
      <w:r>
        <w:t xml:space="preserve">transparent and recognise the true value of the service alongside any</w:t>
      </w:r>
      <w:r>
        <w:t xml:space="preserve"> </w:t>
      </w:r>
      <w:r>
        <w:t xml:space="preserve">opportunity-costs incurred by the supplying participant. There are three</w:t>
      </w:r>
      <w:r>
        <w:t xml:space="preserve"> </w:t>
      </w:r>
      <w:r>
        <w:t xml:space="preserve">main issues that hamper efficient price formation and hence productive</w:t>
      </w:r>
      <w:r>
        <w:t xml:space="preserve"> </w:t>
      </w:r>
      <w:r>
        <w:t xml:space="preserve">and dynamically efficient market outcomes:</w:t>
      </w:r>
    </w:p>
    <w:p>
      <w:pPr>
        <w:numPr>
          <w:ilvl w:val="0"/>
          <w:numId w:val="1005"/>
        </w:numPr>
      </w:pPr>
      <w:r>
        <w:t xml:space="preserve">Frequency control products are arbitrarily defined by a system</w:t>
      </w:r>
      <w:r>
        <w:t xml:space="preserve"> </w:t>
      </w:r>
      <w:r>
        <w:t xml:space="preserve">operator and often procured in a single-sided market due to the</w:t>
      </w:r>
      <w:r>
        <w:t xml:space="preserve"> </w:t>
      </w:r>
      <w:r>
        <w:rPr>
          <w:iCs/>
          <w:i/>
        </w:rPr>
        <w:t xml:space="preserve">public good</w:t>
      </w:r>
      <w:r>
        <w:t xml:space="preserve"> </w:t>
      </w:r>
      <w:r>
        <w:t xml:space="preserve">nature of frequency control</w:t>
      </w:r>
      <w:r>
        <w:t xml:space="preserve"> </w:t>
      </w:r>
      <w:r>
        <w:t xml:space="preserve">(</w:t>
      </w:r>
      <w:hyperlink w:anchor="ref-Billimoria2020">
        <w:r>
          <w:rPr>
            <w:rStyle w:val="Hyperlink"/>
            <w:bCs/>
            <w:b/>
          </w:rPr>
          <w:t xml:space="preserve">Billimoria2020?</w:t>
        </w:r>
      </w:hyperlink>
      <w:r>
        <w:t xml:space="preserve">;</w:t>
      </w:r>
      <w:r>
        <w:t xml:space="preserve"> </w:t>
      </w:r>
      <w:hyperlink w:anchor="ref-Pollitt2019a">
        <w:r>
          <w:rPr>
            <w:rStyle w:val="Hyperlink"/>
            <w:bCs/>
            <w:b/>
          </w:rPr>
          <w:t xml:space="preserve">Pollitt2019a?</w:t>
        </w:r>
      </w:hyperlink>
      <w:r>
        <w:t xml:space="preserve">)</w:t>
      </w:r>
      <w:r>
        <w:t xml:space="preserve">. As such, the true value of these</w:t>
      </w:r>
      <w:r>
        <w:t xml:space="preserve"> </w:t>
      </w:r>
      <w:r>
        <w:t xml:space="preserve">services to power system users is not recognised</w:t>
      </w:r>
      <w:r>
        <w:t xml:space="preserve"> </w:t>
      </w:r>
      <w:r>
        <w:t xml:space="preserve">(</w:t>
      </w:r>
      <w:hyperlink w:anchor="ref-Rebours2007b">
        <w:r>
          <w:rPr>
            <w:rStyle w:val="Hyperlink"/>
            <w:bCs/>
            <w:b/>
          </w:rPr>
          <w:t xml:space="preserve">Rebours2007b?</w:t>
        </w:r>
      </w:hyperlink>
      <w:r>
        <w:t xml:space="preserve">)</w:t>
      </w:r>
      <w:r>
        <w:t xml:space="preserve">.</w:t>
      </w:r>
    </w:p>
    <w:p>
      <w:pPr>
        <w:numPr>
          <w:ilvl w:val="0"/>
          <w:numId w:val="1005"/>
        </w:numPr>
      </w:pPr>
      <w:r>
        <w:t xml:space="preserve">Furthermore, in co-optimised markets, there is a tension between the</w:t>
      </w:r>
      <w:r>
        <w:t xml:space="preserve"> </w:t>
      </w:r>
      <w:r>
        <w:t xml:space="preserve">relatively low opportunity costs of existing synchronous generation</w:t>
      </w:r>
      <w:r>
        <w:t xml:space="preserve"> </w:t>
      </w:r>
      <w:r>
        <w:t xml:space="preserve">providing frequency control services and the strong price signals</w:t>
      </w:r>
      <w:r>
        <w:t xml:space="preserve"> </w:t>
      </w:r>
      <w:r>
        <w:t xml:space="preserve">needed to incentivise new capabilities, particularly from high</w:t>
      </w:r>
      <w:r>
        <w:t xml:space="preserve"> </w:t>
      </w:r>
      <w:r>
        <w:t xml:space="preserve">capital, low operating cost inverter-based resources</w:t>
      </w:r>
      <w:r>
        <w:t xml:space="preserve"> </w:t>
      </w:r>
      <w:r>
        <w:t xml:space="preserve">(</w:t>
      </w:r>
      <w:hyperlink w:anchor="ref-Ela2019">
        <w:r>
          <w:rPr>
            <w:rStyle w:val="Hyperlink"/>
            <w:bCs/>
            <w:b/>
          </w:rPr>
          <w:t xml:space="preserve">Ela2019?</w:t>
        </w:r>
      </w:hyperlink>
      <w:r>
        <w:t xml:space="preserve">)</w:t>
      </w:r>
      <w:r>
        <w:t xml:space="preserve">.</w:t>
      </w:r>
    </w:p>
    <w:p>
      <w:pPr>
        <w:numPr>
          <w:ilvl w:val="0"/>
          <w:numId w:val="1005"/>
        </w:numPr>
      </w:pPr>
      <w:r>
        <w:t xml:space="preserve">Some products, such as inertia, may be</w:t>
      </w:r>
      <w:r>
        <w:t xml:space="preserve"> </w:t>
      </w:r>
      <w:r>
        <w:t xml:space="preserve">‘</w:t>
      </w:r>
      <w:r>
        <w:t xml:space="preserve">lumpy</w:t>
      </w:r>
      <w:r>
        <w:t xml:space="preserve">’</w:t>
      </w:r>
      <w:r>
        <w:t xml:space="preserve"> </w:t>
      </w:r>
      <w:r>
        <w:t xml:space="preserve">in their provision</w:t>
      </w:r>
      <w:r>
        <w:t xml:space="preserve"> </w:t>
      </w:r>
      <w:r>
        <w:t xml:space="preserve">and inseparable from other system security products</w:t>
      </w:r>
      <w:r>
        <w:t xml:space="preserve"> </w:t>
      </w:r>
      <w:r>
        <w:t xml:space="preserve">(</w:t>
      </w:r>
      <w:hyperlink w:anchor="ref-Billimoria2020">
        <w:r>
          <w:rPr>
            <w:rStyle w:val="Hyperlink"/>
            <w:bCs/>
            <w:b/>
          </w:rPr>
          <w:t xml:space="preserve">Billimoria2020?</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86"/>
    <w:bookmarkStart w:id="87" w:name="cost-allocation."/>
    <w:p>
      <w:pPr>
        <w:pStyle w:val="Heading6"/>
      </w:pPr>
      <w:r>
        <w:rPr>
          <w:rStyle w:val="SectionNumber"/>
        </w:rPr>
        <w:t xml:space="preserve">4.6.0.1.2.3</w:t>
      </w:r>
      <w:r>
        <w:tab/>
      </w:r>
      <w:r>
        <w:t xml:space="preserve">Cost allocation.</w:t>
      </w:r>
    </w:p>
    <w:p>
      <w:pPr>
        <w:pStyle w:val="FirstParagraph"/>
      </w:pPr>
      <w:r>
        <w:t xml:space="preserve">In many mandatory pool markets, the cost of frequency control services</w:t>
      </w:r>
      <w:r>
        <w:t xml:space="preserve"> </w:t>
      </w:r>
      <w:r>
        <w:t xml:space="preserve">procured by the system operator is allocated to loads, even though the</w:t>
      </w:r>
      <w:r>
        <w:t xml:space="preserve"> </w:t>
      </w:r>
      <w:r>
        <w:t xml:space="preserve">deviation of generation may cause the need for procurement in the first</w:t>
      </w:r>
      <w:r>
        <w:t xml:space="preserve"> </w:t>
      </w:r>
      <w:r>
        <w:t xml:space="preserve">place</w:t>
      </w:r>
      <w:r>
        <w:t xml:space="preserve"> </w:t>
      </w:r>
      <w:r>
        <w:t xml:space="preserve">(</w:t>
      </w:r>
      <w:hyperlink w:anchor="ref-Milligan2011a">
        <w:r>
          <w:rPr>
            <w:rStyle w:val="Hyperlink"/>
            <w:bCs/>
            <w:b/>
          </w:rPr>
          <w:t xml:space="preserve">Milligan2011a?</w:t>
        </w:r>
      </w:hyperlink>
      <w:r>
        <w:t xml:space="preserve">)</w:t>
      </w:r>
      <w:r>
        <w:t xml:space="preserve">. Australia’s NEM has a</w:t>
      </w:r>
      <w:r>
        <w:t xml:space="preserve"> </w:t>
      </w:r>
      <w:r>
        <w:t xml:space="preserve">‘</w:t>
      </w:r>
      <w:r>
        <w:t xml:space="preserve">Causer Pays</w:t>
      </w:r>
      <w:r>
        <w:t xml:space="preserve">’</w:t>
      </w:r>
      <w:r>
        <w:t xml:space="preserve"> </w:t>
      </w:r>
      <w:r>
        <w:t xml:space="preserve">cost</w:t>
      </w:r>
      <w:r>
        <w:t xml:space="preserve"> </w:t>
      </w:r>
      <w:r>
        <w:t xml:space="preserve">allocation framework in place for frequency control services procured</w:t>
      </w:r>
      <w:r>
        <w:t xml:space="preserve"> </w:t>
      </w:r>
      <w:r>
        <w:t xml:space="preserve">for contingency response and regulation, though the mechanism for the</w:t>
      </w:r>
      <w:r>
        <w:t xml:space="preserve"> </w:t>
      </w:r>
      <w:r>
        <w:t xml:space="preserve">latter suffers from a lack of transparency, complexity and fundamental</w:t>
      </w:r>
      <w:r>
        <w:t xml:space="preserve"> </w:t>
      </w:r>
      <w:r>
        <w:t xml:space="preserve">design flaws</w:t>
      </w:r>
      <w:r>
        <w:t xml:space="preserve"> </w:t>
      </w:r>
      <w:r>
        <w:t xml:space="preserve">(</w:t>
      </w:r>
      <w:hyperlink w:anchor="ref-Riesz2015b">
        <w:r>
          <w:rPr>
            <w:rStyle w:val="Hyperlink"/>
            <w:bCs/>
            <w:b/>
          </w:rPr>
          <w:t xml:space="preserve">Riesz2015b?</w:t>
        </w:r>
      </w:hyperlink>
      <w:r>
        <w:t xml:space="preserve">;</w:t>
      </w:r>
      <w:r>
        <w:t xml:space="preserve"> </w:t>
      </w:r>
      <w:hyperlink w:anchor="ref-AustralianEnergyMarketCommission2020">
        <w:r>
          <w:rPr>
            <w:rStyle w:val="Hyperlink"/>
            <w:bCs/>
            <w:b/>
          </w:rPr>
          <w:t xml:space="preserve">AustralianEnergyMarketCommission2020?</w:t>
        </w:r>
      </w:hyperlink>
      <w:r>
        <w:t xml:space="preserve">;</w:t>
      </w:r>
      <w:r>
        <w:t xml:space="preserve"> </w:t>
      </w:r>
      <w:hyperlink w:anchor="ref-AustralianEnergyRegulator2020">
        <w:r>
          <w:rPr>
            <w:rStyle w:val="Hyperlink"/>
            <w:bCs/>
            <w:b/>
          </w:rPr>
          <w:t xml:space="preserve">AustralianEnergyRegulator2020?</w:t>
        </w:r>
      </w:hyperlink>
      <w:r>
        <w:t xml:space="preserve">)</w:t>
      </w:r>
      <w:r>
        <w:t xml:space="preserve">.</w:t>
      </w:r>
      <w:r>
        <w:t xml:space="preserve"> </w:t>
      </w:r>
      <w:r>
        <w:t xml:space="preserve">Cost allocation could provide disincentives for undesirable behaviour,</w:t>
      </w:r>
      <w:r>
        <w:t xml:space="preserve"> </w:t>
      </w:r>
      <w:r>
        <w:t xml:space="preserve">such as deviation from SCED dispatch instruction, and create</w:t>
      </w:r>
      <w:r>
        <w:t xml:space="preserve"> </w:t>
      </w:r>
      <w:r>
        <w:t xml:space="preserve">counter-parties for hedging frequency control services price risk and</w:t>
      </w:r>
      <w:r>
        <w:t xml:space="preserve"> </w:t>
      </w:r>
      <w:r>
        <w:t xml:space="preserve">therefore assist in price formation</w:t>
      </w:r>
      <w:r>
        <w:t xml:space="preserve"> </w:t>
      </w:r>
      <w:r>
        <w:t xml:space="preserve">(</w:t>
      </w:r>
      <w:hyperlink w:anchor="ref-Thorncraft2007">
        <w:r>
          <w:rPr>
            <w:rStyle w:val="Hyperlink"/>
            <w:bCs/>
            <w:b/>
          </w:rPr>
          <w:t xml:space="preserve">Thorncraft2007?</w:t>
        </w:r>
      </w:hyperlink>
      <w:r>
        <w:t xml:space="preserve">)</w:t>
      </w:r>
      <w:r>
        <w:t xml:space="preserve">. As the power</w:t>
      </w:r>
      <w:r>
        <w:t xml:space="preserve"> </w:t>
      </w:r>
      <w:r>
        <w:t xml:space="preserve">system continues to transition, it may be possible to allocated costs</w:t>
      </w:r>
      <w:r>
        <w:t xml:space="preserve"> </w:t>
      </w:r>
      <w:r>
        <w:t xml:space="preserve">based on a</w:t>
      </w:r>
      <w:r>
        <w:t xml:space="preserve"> </w:t>
      </w:r>
      <w:r>
        <w:t xml:space="preserve">‘</w:t>
      </w:r>
      <w:r>
        <w:t xml:space="preserve">User Pays</w:t>
      </w:r>
      <w:r>
        <w:t xml:space="preserve">’</w:t>
      </w:r>
      <w:r>
        <w:t xml:space="preserve"> </w:t>
      </w:r>
      <w:r>
        <w:t xml:space="preserve">framework, whereby power system resources that</w:t>
      </w:r>
      <w:r>
        <w:t xml:space="preserve"> </w:t>
      </w:r>
      <w:r>
        <w:t xml:space="preserve">impose frequency zenith, nadir or RoCoF limits pay for frequency control</w:t>
      </w:r>
      <w:r>
        <w:t xml:space="preserve"> </w:t>
      </w:r>
      <w:r>
        <w:t xml:space="preserve">services</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bookmarkEnd w:id="87"/>
    <w:bookmarkStart w:id="88" w:name="ibr-participation."/>
    <w:p>
      <w:pPr>
        <w:pStyle w:val="Heading6"/>
      </w:pPr>
      <w:r>
        <w:rPr>
          <w:rStyle w:val="SectionNumber"/>
        </w:rPr>
        <w:t xml:space="preserve">4.6.0.1.2.4</w:t>
      </w:r>
      <w:r>
        <w:tab/>
      </w:r>
      <w:r>
        <w:t xml:space="preserve">IBR participation.</w:t>
      </w:r>
    </w:p>
    <w:p>
      <w:pPr>
        <w:pStyle w:val="FirstParagraph"/>
      </w:pPr>
      <w:r>
        <w:t xml:space="preserve">IBR cannot or do not participate in many frequency control services</w:t>
      </w:r>
      <w:r>
        <w:t xml:space="preserve"> </w:t>
      </w:r>
      <w:r>
        <w:t xml:space="preserve">markets. Historically, literature has focused on the impact of variable</w:t>
      </w:r>
      <w:r>
        <w:t xml:space="preserve"> </w:t>
      </w:r>
      <w:r>
        <w:t xml:space="preserve">IBR on frequency control-related integration costs and how these costs</w:t>
      </w:r>
      <w:r>
        <w:t xml:space="preserve"> </w:t>
      </w:r>
      <w:r>
        <w:t xml:space="preserve">can be minimised</w:t>
      </w:r>
      <w:r>
        <w:t xml:space="preserve"> </w:t>
      </w:r>
      <w:r>
        <w:t xml:space="preserve">(</w:t>
      </w:r>
      <w:hyperlink w:anchor="ref-Ela2011">
        <w:r>
          <w:rPr>
            <w:rStyle w:val="Hyperlink"/>
            <w:bCs/>
            <w:b/>
          </w:rPr>
          <w:t xml:space="preserve">Ela2011?</w:t>
        </w:r>
      </w:hyperlink>
      <w:r>
        <w:t xml:space="preserve">;</w:t>
      </w:r>
      <w:r>
        <w:t xml:space="preserve"> </w:t>
      </w:r>
      <w:hyperlink w:anchor="ref-Riesz2015b">
        <w:r>
          <w:rPr>
            <w:rStyle w:val="Hyperlink"/>
            <w:bCs/>
            <w:b/>
          </w:rPr>
          <w:t xml:space="preserve">Riesz2015b?</w:t>
        </w:r>
      </w:hyperlink>
      <w:r>
        <w:t xml:space="preserve">)</w:t>
      </w:r>
      <w:r>
        <w:t xml:space="preserve">. However, for reasons discussed</w:t>
      </w:r>
      <w:r>
        <w:t xml:space="preserve"> </w:t>
      </w:r>
      <w:r>
        <w:t xml:space="preserve">in</w:t>
      </w:r>
      <w:r>
        <w:t xml:space="preserve"> </w:t>
      </w:r>
      <w:hyperlink w:anchor="sec:ibr_freq">
        <w:r>
          <w:rPr>
            <w:rStyle w:val="Hyperlink"/>
          </w:rPr>
          <w:t xml:space="preserve">5</w:t>
        </w:r>
      </w:hyperlink>
      <w:r>
        <w:t xml:space="preserve"> </w:t>
      </w:r>
      <w:r>
        <w:t xml:space="preserve">and</w:t>
      </w:r>
      <w:r>
        <w:t xml:space="preserve"> </w:t>
      </w:r>
      <w:r>
        <w:t xml:space="preserve">as demonstrated by variable IBR frequency control trials</w:t>
      </w:r>
      <w:r>
        <w:t xml:space="preserve"> </w:t>
      </w:r>
      <w:r>
        <w:t xml:space="preserve">(</w:t>
      </w:r>
      <w:hyperlink w:anchor="ref-AEMO2018d">
        <w:r>
          <w:rPr>
            <w:rStyle w:val="Hyperlink"/>
            <w:bCs/>
            <w:b/>
          </w:rPr>
          <w:t xml:space="preserve">AEMO2018d?</w:t>
        </w:r>
      </w:hyperlink>
      <w:r>
        <w:t xml:space="preserve">;</w:t>
      </w:r>
      <w:r>
        <w:t xml:space="preserve"> </w:t>
      </w:r>
      <w:hyperlink w:anchor="ref-Loutan2017">
        <w:r>
          <w:rPr>
            <w:rStyle w:val="Hyperlink"/>
            <w:bCs/>
            <w:b/>
          </w:rPr>
          <w:t xml:space="preserve">Loutan2017?</w:t>
        </w:r>
      </w:hyperlink>
      <w:r>
        <w:t xml:space="preserve">)</w:t>
      </w:r>
      <w:r>
        <w:t xml:space="preserve"> </w:t>
      </w:r>
      <w:r>
        <w:t xml:space="preserve">and the provision of frequency control</w:t>
      </w:r>
      <w:r>
        <w:t xml:space="preserve"> </w:t>
      </w:r>
      <w:r>
        <w:t xml:space="preserve">services by BESS</w:t>
      </w:r>
      <w:r>
        <w:t xml:space="preserve"> </w:t>
      </w:r>
      <w:r>
        <w:t xml:space="preserve">(</w:t>
      </w:r>
      <w:hyperlink w:anchor="ref-AustralianEnergyMarketOperator2018i">
        <w:r>
          <w:rPr>
            <w:rStyle w:val="Hyperlink"/>
            <w:bCs/>
            <w:b/>
          </w:rPr>
          <w:t xml:space="preserve">AustralianEnergyMarketOperator2018i?</w:t>
        </w:r>
      </w:hyperlink>
      <w:r>
        <w:t xml:space="preserve">)</w:t>
      </w:r>
      <w:r>
        <w:t xml:space="preserve">, there is both a</w:t>
      </w:r>
      <w:r>
        <w:t xml:space="preserve"> </w:t>
      </w:r>
      <w:r>
        <w:t xml:space="preserve">growing need for and benefit to IBR providing frequency control</w:t>
      </w:r>
      <w:r>
        <w:t xml:space="preserve"> </w:t>
      </w:r>
      <w:r>
        <w:t xml:space="preserve">services. In markets such as Australia’s NEM, many IBR can participate</w:t>
      </w:r>
      <w:r>
        <w:t xml:space="preserve"> </w:t>
      </w:r>
      <w:r>
        <w:t xml:space="preserve">in frequency control services markets but choose not to as their</w:t>
      </w:r>
      <w:r>
        <w:t xml:space="preserve"> </w:t>
      </w:r>
      <w:r>
        <w:t xml:space="preserve">business models rely on revenue from energy provision and the</w:t>
      </w:r>
      <w:r>
        <w:t xml:space="preserve"> </w:t>
      </w:r>
      <w:r>
        <w:t xml:space="preserve">opportunity-cost of participation is too high</w:t>
      </w:r>
      <w:r>
        <w:t xml:space="preserve"> </w:t>
      </w:r>
      <w:r>
        <w:t xml:space="preserve">(</w:t>
      </w:r>
      <w:hyperlink w:anchor="ref-AEMO2018d">
        <w:r>
          <w:rPr>
            <w:rStyle w:val="Hyperlink"/>
            <w:bCs/>
            <w:b/>
          </w:rPr>
          <w:t xml:space="preserve">AEMO2018d?</w:t>
        </w:r>
      </w:hyperlink>
      <w:r>
        <w:t xml:space="preserve">)</w:t>
      </w:r>
      <w:r>
        <w:t xml:space="preserve">. An active</w:t>
      </w:r>
      <w:r>
        <w:t xml:space="preserve"> </w:t>
      </w:r>
      <w:r>
        <w:t xml:space="preserve">area of interest is designing frequency control services markets and the</w:t>
      </w:r>
      <w:r>
        <w:t xml:space="preserve"> </w:t>
      </w:r>
      <w:r>
        <w:t xml:space="preserve">revenue earned within them to incentivise IBR participation and</w:t>
      </w:r>
      <w:r>
        <w:t xml:space="preserve"> </w:t>
      </w:r>
      <w:r>
        <w:t xml:space="preserve">investment in frequency control capabilities, particularly as system</w:t>
      </w:r>
      <w:r>
        <w:t xml:space="preserve"> </w:t>
      </w:r>
      <w:r>
        <w:t xml:space="preserve">security requirements change over time and as high instantaneous IBR</w:t>
      </w:r>
      <w:r>
        <w:t xml:space="preserve"> </w:t>
      </w:r>
      <w:r>
        <w:t xml:space="preserve">penetrations are often associated with low energy prices</w:t>
      </w:r>
      <w:r>
        <w:t xml:space="preserve"> </w:t>
      </w:r>
      <w:r>
        <w:t xml:space="preserve">(</w:t>
      </w:r>
      <w:hyperlink w:anchor="ref-Ela2019">
        <w:r>
          <w:rPr>
            <w:rStyle w:val="Hyperlink"/>
            <w:bCs/>
            <w:b/>
          </w:rPr>
          <w:t xml:space="preserve">Ela2019?</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88"/>
    <w:bookmarkEnd w:id="89"/>
    <w:bookmarkStart w:id="93" w:name="sec:regulatory_mech"/>
    <w:p>
      <w:pPr>
        <w:pStyle w:val="Heading5"/>
      </w:pPr>
      <w:r>
        <w:rPr>
          <w:rStyle w:val="SectionNumber"/>
        </w:rPr>
        <w:t xml:space="preserve">4.6.0.1.3</w:t>
      </w:r>
      <w:r>
        <w:tab/>
      </w:r>
      <w:r>
        <w:t xml:space="preserve">Regulatory mechanisms</w:t>
      </w:r>
    </w:p>
    <w:p>
      <w:pPr>
        <w:pStyle w:val="FirstParagraph"/>
      </w:pPr>
      <w:r>
        <w:t xml:space="preserve">Regulatory mechanisms, such as equipment technical standards, grid codes</w:t>
      </w:r>
      <w:r>
        <w:t xml:space="preserve"> </w:t>
      </w:r>
      <w:r>
        <w:t xml:space="preserve">and system operator intervention, were used by monopoly electric</w:t>
      </w:r>
      <w:r>
        <w:t xml:space="preserve"> </w:t>
      </w:r>
      <w:r>
        <w:t xml:space="preserve">utilities and system operators to procure sufficient frequency control</w:t>
      </w:r>
      <w:r>
        <w:t xml:space="preserve"> </w:t>
      </w:r>
      <w:r>
        <w:t xml:space="preserve">response prior to implementation of frequency control services markets.</w:t>
      </w:r>
      <w:r>
        <w:t xml:space="preserve"> </w:t>
      </w:r>
      <w:r>
        <w:t xml:space="preserve">Even now, regulatory mechanisms are used in conjunction with</w:t>
      </w:r>
      <w:r>
        <w:t xml:space="preserve"> </w:t>
      </w:r>
      <w:r>
        <w:t xml:space="preserve">market-based mechanisms to procure frequency control services. In fact,</w:t>
      </w:r>
      <w:r>
        <w:t xml:space="preserve"> </w:t>
      </w:r>
      <w:r>
        <w:t xml:space="preserve">the processes of designing and regulating market rules are in and of</w:t>
      </w:r>
      <w:r>
        <w:t xml:space="preserve"> </w:t>
      </w:r>
      <w:r>
        <w:t xml:space="preserve">themselves regulatory mechanisms</w:t>
      </w:r>
      <w:r>
        <w:t xml:space="preserve"> </w:t>
      </w:r>
      <w:r>
        <w:t xml:space="preserve">(</w:t>
      </w:r>
      <w:hyperlink w:anchor="ref-Sioshansi2006">
        <w:r>
          <w:rPr>
            <w:rStyle w:val="Hyperlink"/>
            <w:bCs/>
            <w:b/>
          </w:rPr>
          <w:t xml:space="preserve">Sioshansi2006?</w:t>
        </w:r>
      </w:hyperlink>
      <w:r>
        <w:t xml:space="preserve">)</w:t>
      </w:r>
      <w:r>
        <w:t xml:space="preserve">.</w:t>
      </w:r>
    </w:p>
    <w:bookmarkStart w:id="90" w:name="X3391760bd5fbf7a4e8180a9b9428c88ad1dc1e6"/>
    <w:p>
      <w:pPr>
        <w:pStyle w:val="Heading6"/>
      </w:pPr>
      <w:r>
        <w:rPr>
          <w:rStyle w:val="SectionNumber"/>
        </w:rPr>
        <w:t xml:space="preserve">4.6.0.1.3.1</w:t>
      </w:r>
      <w:r>
        <w:tab/>
      </w:r>
      <w:r>
        <w:t xml:space="preserve">Potential benefits of regulatory mechanisms</w:t>
      </w:r>
    </w:p>
    <w:p>
      <w:pPr>
        <w:pStyle w:val="FirstParagraph"/>
      </w:pPr>
      <w:r>
        <w:t xml:space="preserve">Regulatory mechanisms are ideal for mandating basic frequency control</w:t>
      </w:r>
      <w:r>
        <w:t xml:space="preserve"> </w:t>
      </w:r>
      <w:r>
        <w:t xml:space="preserve">capabilities as a condition for access or where markets may be difficult</w:t>
      </w:r>
      <w:r>
        <w:t xml:space="preserve"> </w:t>
      </w:r>
      <w:r>
        <w:t xml:space="preserve">to design or suffer from major flaws such as a concentration of market</w:t>
      </w:r>
      <w:r>
        <w:t xml:space="preserve"> </w:t>
      </w:r>
      <w:r>
        <w:t xml:space="preserve">power, oversupply of a product or the issues discussed in</w:t>
      </w:r>
      <w:r>
        <w:t xml:space="preserve"> </w:t>
      </w:r>
      <w:hyperlink w:anchor="sec:challgnes_fcas_markets">
        <w:r>
          <w:rPr>
            <w:rStyle w:val="Hyperlink"/>
          </w:rPr>
          <w:t xml:space="preserve">6.1.4</w:t>
        </w:r>
      </w:hyperlink>
      <w:r>
        <w:t xml:space="preserve"> </w:t>
      </w:r>
      <w:r>
        <w:t xml:space="preserve">(</w:t>
      </w:r>
      <w:hyperlink w:anchor="ref-Ela2012b">
        <w:r>
          <w:rPr>
            <w:rStyle w:val="Hyperlink"/>
            <w:bCs/>
            <w:b/>
          </w:rPr>
          <w:t xml:space="preserve">Ela2012b?</w:t>
        </w:r>
      </w:hyperlink>
      <w:r>
        <w:t xml:space="preserve">)</w:t>
      </w:r>
      <w:r>
        <w:t xml:space="preserve">.</w:t>
      </w:r>
    </w:p>
    <w:bookmarkEnd w:id="90"/>
    <w:bookmarkStart w:id="91" w:name="shortfalls-of-regulatory-mechanisms"/>
    <w:p>
      <w:pPr>
        <w:pStyle w:val="Heading6"/>
      </w:pPr>
      <w:r>
        <w:rPr>
          <w:rStyle w:val="SectionNumber"/>
        </w:rPr>
        <w:t xml:space="preserve">4.6.0.1.3.2</w:t>
      </w:r>
      <w:r>
        <w:tab/>
      </w:r>
      <w:r>
        <w:t xml:space="preserve">Shortfalls of regulatory mechanisms</w:t>
      </w:r>
    </w:p>
    <w:p>
      <w:pPr>
        <w:pStyle w:val="FirstParagraph"/>
      </w:pPr>
      <w:r>
        <w:t xml:space="preserve">It may be difficult for regulatory mechanisms to ensure that sufficient</w:t>
      </w:r>
      <w:r>
        <w:t xml:space="preserve"> </w:t>
      </w:r>
      <w:r>
        <w:t xml:space="preserve">frequency control services can be procured in power systems and</w:t>
      </w:r>
      <w:r>
        <w:t xml:space="preserve"> </w:t>
      </w:r>
      <w:r>
        <w:t xml:space="preserve">electricity markets that are rapidly facing more power electronic-based</w:t>
      </w:r>
      <w:r>
        <w:t xml:space="preserve"> </w:t>
      </w:r>
      <w:r>
        <w:t xml:space="preserve">control systems, lower levels of operational inertial response and</w:t>
      </w:r>
      <w:r>
        <w:t xml:space="preserve"> </w:t>
      </w:r>
      <w:r>
        <w:t xml:space="preserve">higher variability and uncertainty of different scales and nature.</w:t>
      </w:r>
      <w:r>
        <w:t xml:space="preserve"> </w:t>
      </w:r>
      <w:r>
        <w:t xml:space="preserve">Prescriptive regulatory mechanisms, such as grid codes, are often only</w:t>
      </w:r>
      <w:r>
        <w:t xml:space="preserve"> </w:t>
      </w:r>
      <w:r>
        <w:t xml:space="preserve">updated after a number of years to reduce the compliance burden placed</w:t>
      </w:r>
      <w:r>
        <w:t xml:space="preserve"> </w:t>
      </w:r>
      <w:r>
        <w:t xml:space="preserve">on connecting generators and loads. As such, they are slow to respond to</w:t>
      </w:r>
      <w:r>
        <w:t xml:space="preserve"> </w:t>
      </w:r>
      <w:r>
        <w:t xml:space="preserve">changing frequency control capabilities and requirements. This delay can</w:t>
      </w:r>
      <w:r>
        <w:t xml:space="preserve"> </w:t>
      </w:r>
      <w:r>
        <w:t xml:space="preserve">make new standards and requirements reactive rather than proactive. For</w:t>
      </w:r>
      <w:r>
        <w:t xml:space="preserve"> </w:t>
      </w:r>
      <w:r>
        <w:t xml:space="preserve">example, AEMO can only review generator technical performance standards</w:t>
      </w:r>
      <w:r>
        <w:t xml:space="preserve"> </w:t>
      </w:r>
      <w:r>
        <w:t xml:space="preserve">every 5 years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a timeframe in</w:t>
      </w:r>
      <w:r>
        <w:t xml:space="preserve"> </w:t>
      </w:r>
      <w:r>
        <w:t xml:space="preserve">which the solar PV capacity installed in the NEM has more than tripled</w:t>
      </w:r>
      <w:r>
        <w:t xml:space="preserve"> </w:t>
      </w:r>
      <w:r>
        <w:t xml:space="preserve">(2014-2019)</w:t>
      </w:r>
      <w:r>
        <w:t xml:space="preserve"> </w:t>
      </w:r>
      <w:r>
        <w:t xml:space="preserve">(</w:t>
      </w:r>
      <w:hyperlink w:anchor="ref-AustralianPVInstitute">
        <w:r>
          <w:rPr>
            <w:rStyle w:val="Hyperlink"/>
            <w:bCs/>
            <w:b/>
          </w:rPr>
          <w:t xml:space="preserve">AustralianPVInstitute?</w:t>
        </w:r>
      </w:hyperlink>
      <w:r>
        <w:t xml:space="preserve">)</w:t>
      </w:r>
      <w:r>
        <w:t xml:space="preserve">.</w:t>
      </w:r>
    </w:p>
    <w:bookmarkEnd w:id="91"/>
    <w:bookmarkStart w:id="92" w:name="X0f25f8752eaf04aa0cbe7d2ab0790d3724a816d"/>
    <w:p>
      <w:pPr>
        <w:pStyle w:val="Heading6"/>
      </w:pPr>
      <w:r>
        <w:rPr>
          <w:rStyle w:val="SectionNumber"/>
        </w:rPr>
        <w:t xml:space="preserve">4.6.0.1.3.3</w:t>
      </w:r>
      <w:r>
        <w:tab/>
      </w:r>
      <w:r>
        <w:t xml:space="preserve">Regulatory requirements as a solution to market failures</w:t>
      </w:r>
    </w:p>
    <w:p>
      <w:pPr>
        <w:pStyle w:val="FirstParagraph"/>
      </w:pPr>
      <w:r>
        <w:t xml:space="preserve">Regulatory mechanisms are being increasingly used in power system</w:t>
      </w:r>
      <w:r>
        <w:t xml:space="preserve"> </w:t>
      </w:r>
      <w:r>
        <w:t xml:space="preserve">jurisdictions where frequency control services markets have failed to</w:t>
      </w:r>
      <w:r>
        <w:t xml:space="preserve"> </w:t>
      </w:r>
      <w:r>
        <w:t xml:space="preserve">incentivise or procure or appropriate capabilities and services, or</w:t>
      </w:r>
      <w:r>
        <w:t xml:space="preserve"> </w:t>
      </w:r>
      <w:r>
        <w:t xml:space="preserve">where there is significant uncertainty around frequency response from</w:t>
      </w:r>
      <w:r>
        <w:t xml:space="preserve"> </w:t>
      </w:r>
      <w:r>
        <w:t xml:space="preserve">generation. For example, several power systems, including the Australian</w:t>
      </w:r>
      <w:r>
        <w:t xml:space="preserve"> </w:t>
      </w:r>
      <w:r>
        <w:t xml:space="preserve">NEM, have mandated some degree of PFC provision from connected</w:t>
      </w:r>
      <w:r>
        <w:t xml:space="preserve"> </w:t>
      </w:r>
      <w:r>
        <w:t xml:space="preserve">generators in their grid codes or market rules</w:t>
      </w:r>
      <w:r>
        <w:t xml:space="preserve"> </w:t>
      </w:r>
      <w:r>
        <w:t xml:space="preserve">(</w:t>
      </w:r>
      <w:hyperlink w:anchor="ref-AustralianEnergyMarketCommission2020">
        <w:r>
          <w:rPr>
            <w:rStyle w:val="Hyperlink"/>
            <w:bCs/>
            <w:b/>
          </w:rPr>
          <w:t xml:space="preserve">AustralianEnergyMarketCommission2020?</w:t>
        </w:r>
      </w:hyperlink>
      <w:r>
        <w:t xml:space="preserve">;</w:t>
      </w:r>
      <w:r>
        <w:t xml:space="preserve"> </w:t>
      </w:r>
      <w:hyperlink w:anchor="ref-Roberts2018">
        <w:r>
          <w:rPr>
            <w:rStyle w:val="Hyperlink"/>
            <w:bCs/>
            <w:b/>
          </w:rPr>
          <w:t xml:space="preserve">Roberts2018?</w:t>
        </w:r>
      </w:hyperlink>
      <w:r>
        <w:t xml:space="preserve">)</w:t>
      </w:r>
      <w:r>
        <w:t xml:space="preserve">. Similarly,</w:t>
      </w:r>
      <w:r>
        <w:t xml:space="preserve"> </w:t>
      </w:r>
      <w:r>
        <w:t xml:space="preserve">frequency response has also been specified as a requirement for new</w:t>
      </w:r>
      <w:r>
        <w:t xml:space="preserve"> </w:t>
      </w:r>
      <w:r>
        <w:t xml:space="preserve">generation (primarily IBR) to access and connect to the NEM and ISO/RTO</w:t>
      </w:r>
      <w:r>
        <w:t xml:space="preserve"> </w:t>
      </w:r>
      <w:r>
        <w:t xml:space="preserve">markets in the U.S.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w:t>
      </w:r>
      <w:hyperlink w:anchor="X5a03490581796d3b520e35df43ea26b7e4a4ec7">
        <w:r>
          <w:rPr>
            <w:rStyle w:val="Hyperlink"/>
            <w:bCs/>
            <w:b/>
          </w:rPr>
          <w:t xml:space="preserve">FederalEnergyRegulatoryCommissionFERC2018?</w:t>
        </w:r>
      </w:hyperlink>
      <w:r>
        <w:t xml:space="preserve">)</w:t>
      </w:r>
      <w:r>
        <w:t xml:space="preserve">.</w:t>
      </w:r>
    </w:p>
    <w:bookmarkEnd w:id="92"/>
    <w:bookmarkEnd w:id="93"/>
    <w:bookmarkEnd w:id="94"/>
    <w:bookmarkStart w:id="95" w:name="role-of-regulatory-mechanisms"/>
    <w:p>
      <w:pPr>
        <w:pStyle w:val="Heading4"/>
      </w:pPr>
      <w:r>
        <w:rPr>
          <w:rStyle w:val="SectionNumber"/>
        </w:rPr>
        <w:t xml:space="preserve">4.6.0.2</w:t>
      </w:r>
      <w:r>
        <w:tab/>
      </w:r>
      <w:r>
        <w:t xml:space="preserve">Role of regulatory mechanisms</w:t>
      </w:r>
    </w:p>
    <w:p>
      <w:pPr>
        <w:pStyle w:val="FirstParagraph"/>
      </w:pPr>
      <w:r>
        <w:t xml:space="preserve">Though processes across several jurisdictions are underway to address</w:t>
      </w:r>
      <w:r>
        <w:t xml:space="preserve"> </w:t>
      </w:r>
      <w:r>
        <w:t xml:space="preserve">frequency control services market deficiencies (e.g. the Australian</w:t>
      </w:r>
      <w:r>
        <w:t xml:space="preserve"> </w:t>
      </w:r>
      <w:r>
        <w:t xml:space="preserve">NEM’s post-2025 market design project</w:t>
      </w:r>
      <w:r>
        <w:t xml:space="preserve"> </w:t>
      </w:r>
      <w:r>
        <w:t xml:space="preserve">(</w:t>
      </w:r>
      <w:hyperlink w:anchor="ref-EnergySecurityBoard2020">
        <w:r>
          <w:rPr>
            <w:rStyle w:val="Hyperlink"/>
            <w:bCs/>
            <w:b/>
          </w:rPr>
          <w:t xml:space="preserve">EnergySecurityBoard2020?</w:t>
        </w:r>
      </w:hyperlink>
      <w:r>
        <w:t xml:space="preserve">)</w:t>
      </w:r>
      <w:r>
        <w:t xml:space="preserve">, the</w:t>
      </w:r>
      <w:r>
        <w:t xml:space="preserve"> </w:t>
      </w:r>
      <w:r>
        <w:t xml:space="preserve">Electric Reliability Council of Texas’ (ERCOT) Nodal Protocol Revision</w:t>
      </w:r>
      <w:r>
        <w:t xml:space="preserve"> </w:t>
      </w:r>
      <w:r>
        <w:t xml:space="preserve">Request</w:t>
      </w:r>
      <w:r>
        <w:t xml:space="preserve"> </w:t>
      </w:r>
      <w:r>
        <w:t xml:space="preserve">(</w:t>
      </w:r>
      <w:hyperlink w:anchor="ref-Ela2019">
        <w:r>
          <w:rPr>
            <w:rStyle w:val="Hyperlink"/>
            <w:bCs/>
            <w:b/>
          </w:rPr>
          <w:t xml:space="preserve">Ela2019?</w:t>
        </w:r>
      </w:hyperlink>
      <w:r>
        <w:t xml:space="preserve">)</w:t>
      </w:r>
      <w:r>
        <w:t xml:space="preserve"> </w:t>
      </w:r>
      <w:r>
        <w:t xml:space="preserve">and the EU-SysFlex project</w:t>
      </w:r>
      <w:r>
        <w:t xml:space="preserve"> </w:t>
      </w:r>
      <w:r>
        <w:t xml:space="preserve">(</w:t>
      </w:r>
      <w:hyperlink w:anchor="ref-EU-SysFlex2019">
        <w:r>
          <w:rPr>
            <w:rStyle w:val="Hyperlink"/>
            <w:bCs/>
            <w:b/>
          </w:rPr>
          <w:t xml:space="preserve">EU-SysFlex2019?</w:t>
        </w:r>
      </w:hyperlink>
      <w:r>
        <w:t xml:space="preserve">)</w:t>
      </w:r>
      <w:r>
        <w:t xml:space="preserve">), there</w:t>
      </w:r>
      <w:r>
        <w:t xml:space="preserve"> </w:t>
      </w:r>
      <w:r>
        <w:t xml:space="preserve">has been relatively little work around what role regulatory mechanisms</w:t>
      </w:r>
      <w:r>
        <w:t xml:space="preserve"> </w:t>
      </w:r>
      <w:r>
        <w:t xml:space="preserve">may play, how they interact with market-based mechanisms and the</w:t>
      </w:r>
      <w:r>
        <w:t xml:space="preserve"> </w:t>
      </w:r>
      <w:r>
        <w:t xml:space="preserve">relative benefits and costs of further frequency control services</w:t>
      </w:r>
      <w:r>
        <w:t xml:space="preserve"> </w:t>
      </w:r>
      <w:r>
        <w:t xml:space="preserve">marketisation, both now and into the future.</w:t>
      </w:r>
    </w:p>
    <w:p>
      <w:pPr>
        <w:pStyle w:val="BodyText"/>
      </w:pPr>
      <w:r>
        <w:t xml:space="preserve">Designing frequency control arrangements is a control, regulatory and</w:t>
      </w:r>
      <w:r>
        <w:t xml:space="preserve"> </w:t>
      </w:r>
      <w:r>
        <w:t xml:space="preserve">market design problem which has become more complex in recent years due</w:t>
      </w:r>
      <w:r>
        <w:t xml:space="preserve"> </w:t>
      </w:r>
      <w:r>
        <w:t xml:space="preserve">to electricity industry restructuring and growing penetrations of IBR</w:t>
      </w:r>
      <w:r>
        <w:t xml:space="preserve"> </w:t>
      </w:r>
      <w:r>
        <w:t xml:space="preserve">(</w:t>
      </w:r>
      <w:hyperlink w:anchor="ref-VanderVeen2016">
        <w:r>
          <w:rPr>
            <w:rStyle w:val="Hyperlink"/>
            <w:bCs/>
            <w:b/>
          </w:rPr>
          <w:t xml:space="preserve">VanderVeen2016?</w:t>
        </w:r>
      </w:hyperlink>
      <w:r>
        <w:t xml:space="preserve">)</w:t>
      </w:r>
      <w:r>
        <w:t xml:space="preserve">.</w:t>
      </w:r>
    </w:p>
    <w:bookmarkEnd w:id="95"/>
    <w:bookmarkStart w:id="96" w:name="outcomes-of-good-design"/>
    <w:p>
      <w:pPr>
        <w:pStyle w:val="Heading3"/>
      </w:pPr>
      <w:r>
        <w:rPr>
          <w:rStyle w:val="SectionNumber"/>
        </w:rPr>
        <w:t xml:space="preserve">4.6.1</w:t>
      </w:r>
      <w:r>
        <w:tab/>
      </w:r>
      <w:r>
        <w:t xml:space="preserve">Outcomes of good design</w:t>
      </w:r>
    </w:p>
    <w:p>
      <w:pPr>
        <w:pStyle w:val="FirstParagraph"/>
      </w:pPr>
      <w:r>
        <w:t xml:space="preserve">t is important to define desired outcomes of the design process. Below,</w:t>
      </w:r>
      <w:r>
        <w:t xml:space="preserve"> </w:t>
      </w:r>
      <w:r>
        <w:t xml:space="preserve">e present three outcomes that have previously been proposed for</w:t>
      </w:r>
      <w:r>
        <w:t xml:space="preserve"> </w:t>
      </w:r>
      <w:r>
        <w:t xml:space="preserve">esigning ancillary/system services arrangements (including frequency</w:t>
      </w:r>
      <w:r>
        <w:t xml:space="preserve"> </w:t>
      </w:r>
      <w:r>
        <w:t xml:space="preserve">ontrol arrangements) by</w:t>
      </w:r>
      <w:r>
        <w:t xml:space="preserve"> </w:t>
      </w:r>
      <w:r>
        <w:t xml:space="preserve">(</w:t>
      </w:r>
      <w:hyperlink w:anchor="ref-Rebours2007b">
        <w:r>
          <w:rPr>
            <w:rStyle w:val="Hyperlink"/>
            <w:bCs/>
            <w:b/>
          </w:rPr>
          <w:t xml:space="preserve">Rebours2007b?</w:t>
        </w:r>
      </w:hyperlink>
      <w:r>
        <w:t xml:space="preserve">)</w:t>
      </w:r>
      <w:r>
        <w:t xml:space="preserve"> </w:t>
      </w:r>
      <w:r>
        <w:t xml:space="preserve">and the</w:t>
      </w:r>
      <w:r>
        <w:t xml:space="preserve"> </w:t>
      </w:r>
      <w:r>
        <w:t xml:space="preserve">AustralianEnergyMarketCommission2020a.</w:t>
      </w:r>
    </w:p>
    <w:p>
      <w:pPr>
        <w:pStyle w:val="BodyText"/>
      </w:pPr>
      <w:r>
        <w:t xml:space="preserve">.</w:t>
      </w:r>
      <w:r>
        <w:t xml:space="preserve"> </w:t>
      </w:r>
      <w:r>
        <w:rPr>
          <w:bCs/>
          <w:b/>
        </w:rPr>
        <w:t xml:space="preserve">Effectiveness</w:t>
      </w:r>
      <w:r>
        <w:t xml:space="preserve">. This entails both sufficient quantity and</w:t>
      </w:r>
      <w:r>
        <w:t xml:space="preserve"> </w:t>
      </w:r>
      <w:r>
        <w:t xml:space="preserve">performance of procured frequency control services to ensure that</w:t>
      </w:r>
      <w:r>
        <w:t xml:space="preserve"> </w:t>
      </w:r>
      <w:r>
        <w:t xml:space="preserve">power system security requirements are met.</w:t>
      </w:r>
    </w:p>
    <w:p>
      <w:pPr>
        <w:pStyle w:val="BodyText"/>
      </w:pPr>
      <w:r>
        <w:t xml:space="preserve">.</w:t>
      </w:r>
      <w:r>
        <w:t xml:space="preserve"> </w:t>
      </w:r>
      <w:r>
        <w:rPr>
          <w:bCs/>
          <w:b/>
        </w:rPr>
        <w:t xml:space="preserve">Efficiency</w:t>
      </w:r>
      <w:r>
        <w:t xml:space="preserve">. Efficient frequency control arrangements will</w:t>
      </w:r>
      <w:r>
        <w:t xml:space="preserve"> </w:t>
      </w:r>
      <w:r>
        <w:t xml:space="preserve">procure services at the lowest cost to the system, both now</w:t>
      </w:r>
      <w:r>
        <w:t xml:space="preserve"> </w:t>
      </w:r>
      <w:r>
        <w:t xml:space="preserve">(productive efficiency) and into the future (dynamic efficiency).</w:t>
      </w:r>
      <w:r>
        <w:t xml:space="preserve"> </w:t>
      </w:r>
      <w:r>
        <w:t xml:space="preserve">Furthermore, efficient arrangements should also procure the right</w:t>
      </w:r>
      <w:r>
        <w:t xml:space="preserve"> </w:t>
      </w:r>
      <w:r>
        <w:t xml:space="preserve">mix of services according to user and/or system needs (</w:t>
      </w:r>
      <w:r>
        <w:rPr>
          <w:iCs/>
          <w:i/>
        </w:rPr>
        <w:t xml:space="preserve">allocative</w:t>
      </w:r>
      <w:r>
        <w:rPr>
          <w:iCs/>
          <w:i/>
        </w:rPr>
        <w:t xml:space="preserve"> </w:t>
      </w:r>
      <w:r>
        <w:rPr>
          <w:iCs/>
          <w:i/>
        </w:rPr>
        <w:t xml:space="preserve">efficiency</w:t>
      </w:r>
      <w:r>
        <w:t xml:space="preserve">).</w:t>
      </w:r>
    </w:p>
    <w:p>
      <w:pPr>
        <w:pStyle w:val="BodyText"/>
      </w:pPr>
      <w:r>
        <w:t xml:space="preserve">.</w:t>
      </w:r>
      <w:r>
        <w:t xml:space="preserve"> </w:t>
      </w:r>
      <w:r>
        <w:rPr>
          <w:bCs/>
          <w:b/>
        </w:rPr>
        <w:t xml:space="preserve">Minimising procurement costs and complexity</w:t>
      </w:r>
      <w:r>
        <w:t xml:space="preserve">. Procurement and</w:t>
      </w:r>
      <w:r>
        <w:t xml:space="preserve"> </w:t>
      </w:r>
      <w:r>
        <w:t xml:space="preserve">verification of delivery of frequency control services may involve</w:t>
      </w:r>
      <w:r>
        <w:t xml:space="preserve"> </w:t>
      </w:r>
      <w:r>
        <w:t xml:space="preserve">significant costs associated with facilitation and monitoring. This</w:t>
      </w:r>
      <w:r>
        <w:t xml:space="preserve"> </w:t>
      </w:r>
      <w:r>
        <w:t xml:space="preserve">could include metering equipment, IT systems and additional staffing</w:t>
      </w:r>
      <w:r>
        <w:t xml:space="preserve"> </w:t>
      </w:r>
      <w:r>
        <w:t xml:space="preserve">costs. Complex procurement arrangements may also have unintended and</w:t>
      </w:r>
      <w:r>
        <w:t xml:space="preserve"> </w:t>
      </w:r>
      <w:r>
        <w:t xml:space="preserve">unforeseen consequences on processes and markets that interface with</w:t>
      </w:r>
      <w:r>
        <w:t xml:space="preserve"> </w:t>
      </w:r>
      <w:r>
        <w:t xml:space="preserve">these arrangements, such as the energy market and other ancillary</w:t>
      </w:r>
      <w:r>
        <w:t xml:space="preserve"> </w:t>
      </w:r>
      <w:r>
        <w:t xml:space="preserve">services markets.</w:t>
      </w:r>
    </w:p>
    <w:bookmarkEnd w:id="96"/>
    <w:bookmarkStart w:id="99" w:name="complexity-of-the-design-process"/>
    <w:p>
      <w:pPr>
        <w:pStyle w:val="Heading3"/>
      </w:pPr>
      <w:r>
        <w:rPr>
          <w:rStyle w:val="SectionNumber"/>
        </w:rPr>
        <w:t xml:space="preserve">4.6.2</w:t>
      </w:r>
      <w:r>
        <w:tab/>
      </w:r>
      <w:r>
        <w:t xml:space="preserve">Complexity of the design process</w:t>
      </w:r>
    </w:p>
    <w:p>
      <w:pPr>
        <w:pStyle w:val="FirstParagraph"/>
      </w:pPr>
      <w:r>
        <w:t xml:space="preserve">esigning frequency control arrangements is a complex exercise in</w:t>
      </w:r>
      <w:r>
        <w:t xml:space="preserve"> </w:t>
      </w:r>
      <w:r>
        <w:t xml:space="preserve">anaging interrelated and interacting capabilities, mechanisms and</w:t>
      </w:r>
      <w:r>
        <w:t xml:space="preserve"> </w:t>
      </w:r>
      <w:r>
        <w:t xml:space="preserve">bjectives (</w:t>
      </w:r>
      <w:hyperlink w:anchor="fig:design_complexity">
        <w:r>
          <w:rPr>
            <w:rStyle w:val="Hyperlink"/>
          </w:rPr>
          <w:t xml:space="preserve">7</w:t>
        </w:r>
      </w:hyperlink>
      <w:r>
        <w:t xml:space="preserve">). The frequency control</w:t>
      </w:r>
      <w:r>
        <w:t xml:space="preserve"> </w:t>
      </w:r>
      <w:r>
        <w:rPr>
          <w:iCs/>
          <w:i/>
        </w:rPr>
        <w:t xml:space="preserve">capability</w:t>
      </w:r>
      <w:r>
        <w:t xml:space="preserve"> </w:t>
      </w:r>
      <w:r>
        <w:t xml:space="preserve">f a power system is distinct from its</w:t>
      </w:r>
      <w:r>
        <w:t xml:space="preserve"> </w:t>
      </w:r>
      <w:r>
        <w:rPr>
          <w:iCs/>
          <w:i/>
        </w:rPr>
        <w:t xml:space="preserve">performance</w:t>
      </w:r>
      <w:r>
        <w:t xml:space="preserve">, with a</w:t>
      </w:r>
      <w:r>
        <w:t xml:space="preserve"> </w:t>
      </w:r>
      <w:r>
        <w:rPr>
          <w:iCs/>
          <w:i/>
        </w:rPr>
        <w:t xml:space="preserve">control</w:t>
      </w:r>
      <w:r>
        <w:rPr>
          <w:iCs/>
          <w:i/>
        </w:rPr>
        <w:t xml:space="preserve"> </w:t>
      </w:r>
      <w:r>
        <w:rPr>
          <w:iCs/>
          <w:i/>
        </w:rPr>
        <w:t xml:space="preserve">trategy</w:t>
      </w:r>
      <w:r>
        <w:t xml:space="preserve"> </w:t>
      </w:r>
      <w:r>
        <w:t xml:space="preserve">defining how the former translates to the latter. The</w:t>
      </w:r>
      <w:r>
        <w:t xml:space="preserve"> </w:t>
      </w:r>
      <w:r>
        <w:t xml:space="preserve">requency control capability of a power system is determined by the</w:t>
      </w:r>
      <w:r>
        <w:t xml:space="preserve"> </w:t>
      </w:r>
      <w:r>
        <w:t xml:space="preserve">hysical characteristics and configuration of generators, loads and</w:t>
      </w:r>
      <w:r>
        <w:t xml:space="preserve"> </w:t>
      </w:r>
      <w:r>
        <w:t xml:space="preserve">etwork elements within a synchronous area.</w:t>
      </w:r>
    </w:p>
    <w:p>
      <w:pPr>
        <w:pStyle w:val="BodyText"/>
      </w:pPr>
      <w:hyperlink r:id="rId97">
        <w:r>
          <w:rPr>
            <w:rStyle w:val="Hyperlink"/>
          </w:rPr>
          <w:t xml:space="preserve">A diagrammatic depiction of the complexity involved in designing power</w:t>
        </w:r>
        <w:r>
          <w:rPr>
            <w:rStyle w:val="Hyperlink"/>
          </w:rPr>
          <w:t xml:space="preserve"> </w:t>
        </w:r>
        <w:r>
          <w:rPr>
            <w:rStyle w:val="Hyperlink"/>
          </w:rPr>
          <w:t xml:space="preserve">ystem frequency control</w:t>
        </w:r>
        <w:r>
          <w:rPr>
            <w:rStyle w:val="Hyperlink"/>
          </w:rPr>
          <w:t xml:space="preserve"> </w:t>
        </w:r>
        <w:r>
          <w:rPr>
            <w:rStyle w:val="Hyperlink"/>
          </w:rPr>
          <w:t xml:space="preserve">rrangements.</w:t>
        </w:r>
      </w:hyperlink>
    </w:p>
    <w:p>
      <w:pPr>
        <w:pStyle w:val="BodyText"/>
      </w:pPr>
      <w:r>
        <w:t xml:space="preserve">requency control services from capable resources are often mandated</w:t>
      </w:r>
      <w:r>
        <w:t xml:space="preserve"> </w:t>
      </w:r>
      <w:r>
        <w:t xml:space="preserve">hrough connection requirements or power system operator intervention</w:t>
      </w:r>
      <w:r>
        <w:t xml:space="preserve"> </w:t>
      </w:r>
      <w:r>
        <w:t xml:space="preserve">see</w:t>
      </w:r>
      <w:r>
        <w:t xml:space="preserve"> </w:t>
      </w:r>
      <w:hyperlink w:anchor="sec:regulatory_mech">
        <w:r>
          <w:rPr>
            <w:rStyle w:val="Hyperlink"/>
          </w:rPr>
          <w:t xml:space="preserve">6.2</w:t>
        </w:r>
      </w:hyperlink>
      <w:r>
        <w:t xml:space="preserve">), incentivised through remunerative</w:t>
      </w:r>
      <w:r>
        <w:t xml:space="preserve"> </w:t>
      </w:r>
      <w:r>
        <w:t xml:space="preserve">chemes, or procured through a contract or spot market (see</w:t>
      </w:r>
      <w:r>
        <w:t xml:space="preserve"> </w:t>
      </w:r>
      <w:r>
        <w:t xml:space="preserve">6.1](#sec:market_mech){reference-type=</w:t>
      </w:r>
      <w:r>
        <w:t xml:space="preserve">“</w:t>
      </w:r>
      <w:r>
        <w:t xml:space="preserve">ref</w:t>
      </w:r>
      <w:r>
        <w:t xml:space="preserve">”</w:t>
      </w:r>
      <w:r>
        <w:t xml:space="preserve"> </w:t>
      </w:r>
      <w:r>
        <w:t xml:space="preserve">eference=</w:t>
      </w:r>
      <w:r>
        <w:t xml:space="preserve">“</w:t>
      </w:r>
      <w:r>
        <w:t xml:space="preserve">sec:market_mech</w:t>
      </w:r>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Together with the</w:t>
      </w:r>
      <w:r>
        <w:t xml:space="preserve"> </w:t>
      </w:r>
      <w:r>
        <w:t xml:space="preserve">ontrol specification of frequency control products, these mechanisms</w:t>
      </w:r>
      <w:r>
        <w:t xml:space="preserve"> </w:t>
      </w:r>
      <w:r>
        <w:t xml:space="preserve">efine a power system</w:t>
      </w:r>
      <w:r>
        <w:t xml:space="preserve"> </w:t>
      </w:r>
      <w:r>
        <w:rPr>
          <w:iCs/>
          <w:i/>
        </w:rPr>
        <w:t xml:space="preserve">control strategy</w:t>
      </w:r>
      <w:r>
        <w:t xml:space="preserve"> </w:t>
      </w:r>
      <w:r>
        <w:t xml:space="preserve">that dictates how capable</w:t>
      </w:r>
      <w:r>
        <w:t xml:space="preserve"> </w:t>
      </w:r>
      <w:r>
        <w:t xml:space="preserve">ystem resources respond to deviations, and therefore determine the</w:t>
      </w:r>
      <w:r>
        <w:t xml:space="preserve"> </w:t>
      </w:r>
      <w:r>
        <w:t xml:space="preserve">requency control</w:t>
      </w:r>
      <w:r>
        <w:t xml:space="preserve"> </w:t>
      </w:r>
      <w:r>
        <w:rPr>
          <w:iCs/>
          <w:i/>
        </w:rPr>
        <w:t xml:space="preserve">performance</w:t>
      </w:r>
      <w:r>
        <w:t xml:space="preserve"> </w:t>
      </w:r>
      <w:r>
        <w:t xml:space="preserve">of a power system. The outcomes that</w:t>
      </w:r>
      <w:r>
        <w:t xml:space="preserve"> </w:t>
      </w:r>
      <w:r>
        <w:t xml:space="preserve">efine frequency control performance can be divided into physical</w:t>
      </w:r>
      <w:r>
        <w:t xml:space="preserve"> </w:t>
      </w:r>
      <w:r>
        <w:t xml:space="preserve">erformance criteria, which describe the effectiveness of frequency</w:t>
      </w:r>
      <w:r>
        <w:t xml:space="preserve"> </w:t>
      </w:r>
      <w:r>
        <w:t xml:space="preserve">ontrol services provided, and economic objectives, which relate to the</w:t>
      </w:r>
      <w:r>
        <w:t xml:space="preserve"> </w:t>
      </w:r>
      <w:r>
        <w:t xml:space="preserve">roductive, dynamic and price and cost-allocation efficiency of the</w:t>
      </w:r>
      <w:r>
        <w:t xml:space="preserve"> </w:t>
      </w:r>
      <w:r>
        <w:t xml:space="preserve">rrangements.</w:t>
      </w:r>
    </w:p>
    <w:bookmarkStart w:id="98" w:name="X1e784928a97ab8756574845e53376faa9452811"/>
    <w:p>
      <w:pPr>
        <w:pStyle w:val="Heading4"/>
      </w:pPr>
      <w:r>
        <w:rPr>
          <w:rStyle w:val="SectionNumber"/>
        </w:rPr>
        <w:t xml:space="preserve">4.6.2.1</w:t>
      </w:r>
      <w:r>
        <w:tab/>
      </w:r>
      <w:r>
        <w:t xml:space="preserve">Interactions between capability, strategy and performance</w:t>
      </w:r>
    </w:p>
    <w:p>
      <w:pPr>
        <w:pStyle w:val="FirstParagraph"/>
      </w:pPr>
      <w:r>
        <w:t xml:space="preserve">hese three design layers often interact. Technical capabilities may</w:t>
      </w:r>
      <w:r>
        <w:t xml:space="preserve"> </w:t>
      </w:r>
      <w:r>
        <w:t xml:space="preserve">uide the design of the control strategy, and therefore the mechanisms</w:t>
      </w:r>
      <w:r>
        <w:t xml:space="preserve"> </w:t>
      </w:r>
      <w:r>
        <w:t xml:space="preserve">hat define frequency control performance. An example of such a process</w:t>
      </w:r>
      <w:r>
        <w:t xml:space="preserve"> </w:t>
      </w:r>
      <w:r>
        <w:t xml:space="preserve">s the PJM Interconnection (an RTO) implementing a high frequency AGC</w:t>
      </w:r>
      <w:r>
        <w:t xml:space="preserve"> </w:t>
      </w:r>
      <w:r>
        <w:t xml:space="preserve">ignal designed for BESS providing fast regulation frequency control</w:t>
      </w:r>
      <w:r>
        <w:t xml:space="preserve"> </w:t>
      </w:r>
      <w:r>
        <w:t xml:space="preserve">ervices</w:t>
      </w:r>
      <w:r>
        <w:t xml:space="preserve"> </w:t>
      </w:r>
      <w:r>
        <w:t xml:space="preserve">(</w:t>
      </w:r>
      <w:hyperlink w:anchor="ref-Benner2015">
        <w:r>
          <w:rPr>
            <w:rStyle w:val="Hyperlink"/>
            <w:bCs/>
            <w:b/>
          </w:rPr>
          <w:t xml:space="preserve">Benner2015?</w:t>
        </w:r>
      </w:hyperlink>
      <w:r>
        <w:t xml:space="preserve">;</w:t>
      </w:r>
      <w:r>
        <w:t xml:space="preserve"> </w:t>
      </w:r>
      <w:hyperlink w:anchor="ref-Brooks2019">
        <w:r>
          <w:rPr>
            <w:rStyle w:val="Hyperlink"/>
            <w:bCs/>
            <w:b/>
          </w:rPr>
          <w:t xml:space="preserve">Brooks2019?</w:t>
        </w:r>
      </w:hyperlink>
      <w:r>
        <w:t xml:space="preserve">)</w:t>
      </w:r>
      <w:r>
        <w:t xml:space="preserve">. Similarly, deficiencies in</w:t>
      </w:r>
      <w:r>
        <w:t xml:space="preserve"> </w:t>
      </w:r>
      <w:r>
        <w:t xml:space="preserve">erformance can be addressed through modifying the control strategy to</w:t>
      </w:r>
      <w:r>
        <w:t xml:space="preserve"> </w:t>
      </w:r>
      <w:r>
        <w:t xml:space="preserve">rocure additional or more suitable frequency control capability. The</w:t>
      </w:r>
      <w:r>
        <w:t xml:space="preserve"> </w:t>
      </w:r>
      <w:r>
        <w:t xml:space="preserve">alifornia and Midcontinent ISOs have introduced ramping products to</w:t>
      </w:r>
      <w:r>
        <w:t xml:space="preserve"> </w:t>
      </w:r>
      <w:r>
        <w:t xml:space="preserve">ddress increasing variability and uncertainty in their power systems</w:t>
      </w:r>
      <w:r>
        <w:t xml:space="preserve"> </w:t>
      </w:r>
      <w:r>
        <w:t xml:space="preserve">(</w:t>
      </w:r>
      <w:hyperlink w:anchor="ref-Ela2016">
        <w:r>
          <w:rPr>
            <w:rStyle w:val="Hyperlink"/>
            <w:bCs/>
            <w:b/>
          </w:rPr>
          <w:t xml:space="preserve">Ela2016?</w:t>
        </w:r>
      </w:hyperlink>
      <w:r>
        <w:t xml:space="preserve">)</w:t>
      </w:r>
      <w:r>
        <w:t xml:space="preserve">;</w:t>
      </w:r>
      <w:r>
        <w:t xml:space="preserve"> </w:t>
      </w:r>
      <w:r>
        <w:t xml:space="preserve">(</w:t>
      </w:r>
      <w:hyperlink w:anchor="ref-Ela2017">
        <w:r>
          <w:rPr>
            <w:rStyle w:val="Hyperlink"/>
            <w:bCs/>
            <w:b/>
          </w:rPr>
          <w:t xml:space="preserve">Ela2017?</w:t>
        </w:r>
      </w:hyperlink>
      <w:r>
        <w:t xml:space="preserve">)</w:t>
      </w:r>
      <w:r>
        <w:t xml:space="preserve">].</w:t>
      </w:r>
    </w:p>
    <w:bookmarkEnd w:id="98"/>
    <w:bookmarkEnd w:id="99"/>
    <w:bookmarkStart w:id="100" w:name="diversity-of-design-outcomes"/>
    <w:p>
      <w:pPr>
        <w:pStyle w:val="Heading3"/>
      </w:pPr>
      <w:r>
        <w:rPr>
          <w:rStyle w:val="SectionNumber"/>
        </w:rPr>
        <w:t xml:space="preserve">4.6.3</w:t>
      </w:r>
      <w:r>
        <w:tab/>
      </w:r>
      <w:r>
        <w:t xml:space="preserve">Diversity of design outcomes</w:t>
      </w:r>
    </w:p>
    <w:p>
      <w:pPr>
        <w:pStyle w:val="FirstParagraph"/>
      </w:pPr>
      <w:r>
        <w:t xml:space="preserve">he design process has and will most likely continue to proceed</w:t>
      </w:r>
      <w:r>
        <w:t xml:space="preserve"> </w:t>
      </w:r>
      <w:r>
        <w:t xml:space="preserve">ifferently across jurisdictions due to the diversity of both the</w:t>
      </w:r>
      <w:r>
        <w:t xml:space="preserve"> </w:t>
      </w:r>
      <w:r>
        <w:t xml:space="preserve">echnical capabilities of resources within power systems (see</w:t>
      </w:r>
      <w:r>
        <w:t xml:space="preserve"> </w:t>
      </w:r>
      <w:r>
        <w:t xml:space="preserve">4](#sec:freq_dev_control){reference-type=</w:t>
      </w:r>
      <w:r>
        <w:t xml:space="preserve">“</w:t>
      </w:r>
      <w:r>
        <w:t xml:space="preserve">ref</w:t>
      </w:r>
      <w:r>
        <w:t xml:space="preserve">”</w:t>
      </w:r>
      <w:r>
        <w:t xml:space="preserve"> </w:t>
      </w:r>
      <w:r>
        <w:t xml:space="preserve">eference=</w:t>
      </w:r>
      <w:r>
        <w:t xml:space="preserve">“</w:t>
      </w:r>
      <w:r>
        <w:t xml:space="preserve">sec:freq_dev_control</w:t>
      </w:r>
      <w:r>
        <w:t xml:space="preserve">”</w:t>
      </w:r>
      <w:r>
        <w:t xml:space="preserve">} and</w:t>
      </w:r>
      <w:r>
        <w:t xml:space="preserve"> </w:t>
      </w:r>
      <w:r>
        <w:t xml:space="preserve">5](#sec:ibr_freq){reference-type=</w:t>
      </w:r>
      <w:r>
        <w:t xml:space="preserve">“</w:t>
      </w:r>
      <w:r>
        <w:t xml:space="preserve">ref</w:t>
      </w:r>
      <w:r>
        <w:t xml:space="preserve">”</w:t>
      </w:r>
      <w:r>
        <w:t xml:space="preserve"> </w:t>
      </w:r>
      <w:r>
        <w:t xml:space="preserve">reference=</w:t>
      </w:r>
      <w:r>
        <w:t xml:space="preserve">“</w:t>
      </w:r>
      <w:r>
        <w:t xml:space="preserve">sec:ibr_freq</w:t>
      </w:r>
      <w:r>
        <w:t xml:space="preserve">”</w:t>
      </w:r>
      <w:r>
        <w:t xml:space="preserve">}) and</w:t>
      </w:r>
      <w:r>
        <w:t xml:space="preserve"> </w:t>
      </w:r>
      <w:r>
        <w:t xml:space="preserve">he different structures and features of various electricity markets</w:t>
      </w:r>
      <w:r>
        <w:t xml:space="preserve"> </w:t>
      </w:r>
      <w:r>
        <w:t xml:space="preserve">see</w:t>
      </w:r>
      <w:r>
        <w:t xml:space="preserve"> </w:t>
      </w:r>
      <w:hyperlink w:anchor="sec:elec_markets">
        <w:r>
          <w:rPr>
            <w:rStyle w:val="Hyperlink"/>
          </w:rPr>
          <w:t xml:space="preserve">2</w:t>
        </w:r>
      </w:hyperlink>
      <w:r>
        <w:t xml:space="preserve">)</w:t>
      </w:r>
      <w:r>
        <w:t xml:space="preserve"> </w:t>
      </w:r>
      <w:r>
        <w:t xml:space="preserve">(</w:t>
      </w:r>
      <w:hyperlink w:anchor="ref-Rebours2007b">
        <w:r>
          <w:rPr>
            <w:rStyle w:val="Hyperlink"/>
            <w:bCs/>
            <w:b/>
          </w:rPr>
          <w:t xml:space="preserve">Rebours2007b?</w:t>
        </w:r>
      </w:hyperlink>
      <w:r>
        <w:t xml:space="preserve">)</w:t>
      </w:r>
      <w:r>
        <w:t xml:space="preserve">. Existing frequency</w:t>
      </w:r>
      <w:r>
        <w:t xml:space="preserve"> </w:t>
      </w:r>
      <w:r>
        <w:t xml:space="preserve">ontrol arrangements across the world have been reviewed and compared</w:t>
      </w:r>
      <w:r>
        <w:t xml:space="preserve"> </w:t>
      </w:r>
      <w:r>
        <w:t xml:space="preserve">xtensively in the literature</w:t>
      </w:r>
      <w:r>
        <w:t xml:space="preserve"> </w:t>
      </w:r>
      <w:r>
        <w:t xml:space="preserve">(</w:t>
      </w:r>
      <w:hyperlink w:anchor="ref-Rebours2009">
        <w:r>
          <w:rPr>
            <w:rStyle w:val="Hyperlink"/>
            <w:bCs/>
            <w:b/>
          </w:rPr>
          <w:t xml:space="preserve">Rebours2009?</w:t>
        </w:r>
      </w:hyperlink>
      <w:r>
        <w:t xml:space="preserve">)</w:t>
      </w:r>
      <w:r>
        <w:t xml:space="preserve">;</w:t>
      </w:r>
      <w:r>
        <w:t xml:space="preserve"> </w:t>
      </w:r>
      <w:r>
        <w:t xml:space="preserve">(</w:t>
      </w:r>
      <w:hyperlink w:anchor="ref-Ela2011">
        <w:r>
          <w:rPr>
            <w:rStyle w:val="Hyperlink"/>
            <w:bCs/>
            <w:b/>
          </w:rPr>
          <w:t xml:space="preserve">Ela2011?</w:t>
        </w:r>
      </w:hyperlink>
      <w:r>
        <w:t xml:space="preserve">)</w:t>
      </w:r>
      <w:r>
        <w:t xml:space="preserve">;</w:t>
      </w:r>
      <w:r>
        <w:t xml:space="preserve"> </w:t>
      </w:r>
      <w:r>
        <w:t xml:space="preserve">(</w:t>
      </w:r>
      <w:hyperlink w:anchor="ref-DGAConsulting2016">
        <w:r>
          <w:rPr>
            <w:rStyle w:val="Hyperlink"/>
            <w:bCs/>
            <w:b/>
          </w:rPr>
          <w:t xml:space="preserve">DGAConsulting2016?</w:t>
        </w:r>
      </w:hyperlink>
      <w:r>
        <w:t xml:space="preserve">)</w:t>
      </w:r>
      <w:r>
        <w:t xml:space="preserve">;</w:t>
      </w:r>
      <w:r>
        <w:t xml:space="preserve"> </w:t>
      </w:r>
      <w:r>
        <w:t xml:space="preserve">(</w:t>
      </w:r>
      <w:hyperlink w:anchor="ref-Hewicker2020">
        <w:r>
          <w:rPr>
            <w:rStyle w:val="Hyperlink"/>
            <w:bCs/>
            <w:b/>
          </w:rPr>
          <w:t xml:space="preserve">Hewicker2020?</w:t>
        </w:r>
      </w:hyperlink>
      <w:r>
        <w:t xml:space="preserve">)</w:t>
      </w:r>
      <w:r>
        <w:t xml:space="preserve">;</w:t>
      </w:r>
      <w:r>
        <w:t xml:space="preserve"> </w:t>
      </w:r>
      <w:r>
        <w:t xml:space="preserve">(</w:t>
      </w:r>
      <w:hyperlink w:anchor="ref-Rebours2007a">
        <w:r>
          <w:rPr>
            <w:rStyle w:val="Hyperlink"/>
            <w:bCs/>
            <w:b/>
          </w:rPr>
          <w:t xml:space="preserve">Rebours2007a?</w:t>
        </w:r>
      </w:hyperlink>
      <w:r>
        <w:t xml:space="preserve">)</w:t>
      </w:r>
      <w:r>
        <w:t xml:space="preserve">;</w:t>
      </w:r>
      <w:r>
        <w:t xml:space="preserve"> </w:t>
      </w:r>
      <w:r>
        <w:t xml:space="preserve">(</w:t>
      </w:r>
      <w:hyperlink w:anchor="ref-Rebours2007">
        <w:r>
          <w:rPr>
            <w:rStyle w:val="Hyperlink"/>
            <w:bCs/>
            <w:b/>
          </w:rPr>
          <w:t xml:space="preserve">Rebours2007?</w:t>
        </w:r>
      </w:hyperlink>
      <w:r>
        <w:t xml:space="preserve">)</w:t>
      </w:r>
      <w:r>
        <w:t xml:space="preserve">;</w:t>
      </w:r>
      <w:r>
        <w:t xml:space="preserve"> </w:t>
      </w:r>
      <w:r>
        <w:t xml:space="preserve">(</w:t>
      </w:r>
      <w:hyperlink w:anchor="ref-Zhou2016">
        <w:r>
          <w:rPr>
            <w:rStyle w:val="Hyperlink"/>
            <w:bCs/>
            <w:b/>
          </w:rPr>
          <w:t xml:space="preserve">Zhou2016?</w:t>
        </w:r>
      </w:hyperlink>
      <w:r>
        <w:t xml:space="preserve">)</w:t>
      </w:r>
      <w:r>
        <w:t xml:space="preserve">;</w:t>
      </w:r>
      <w:r>
        <w:t xml:space="preserve"> </w:t>
      </w:r>
      <w:r>
        <w:t xml:space="preserve">(</w:t>
      </w:r>
      <w:hyperlink w:anchor="ref-ReishusConsultingLLC2017">
        <w:r>
          <w:rPr>
            <w:rStyle w:val="Hyperlink"/>
            <w:bCs/>
            <w:b/>
          </w:rPr>
          <w:t xml:space="preserve">ReishusConsultingLLC2017?</w:t>
        </w:r>
      </w:hyperlink>
      <w:r>
        <w:t xml:space="preserve">)</w:t>
      </w:r>
      <w:r>
        <w:t xml:space="preserve">;</w:t>
      </w:r>
      <w:r>
        <w:t xml:space="preserve"> </w:t>
      </w:r>
      <w:r>
        <w:t xml:space="preserve">(</w:t>
      </w:r>
      <w:hyperlink w:anchor="ref-Banshwar2018">
        <w:r>
          <w:rPr>
            <w:rStyle w:val="Hyperlink"/>
            <w:bCs/>
            <w:b/>
          </w:rPr>
          <w:t xml:space="preserve">Banshwar2018?</w:t>
        </w:r>
      </w:hyperlink>
      <w:r>
        <w:t xml:space="preserve">)</w:t>
      </w:r>
      <w:r>
        <w:t xml:space="preserve">].</w:t>
      </w:r>
    </w:p>
    <w:bookmarkEnd w:id="100"/>
    <w:bookmarkStart w:id="110" w:name="design-principles-and-considerations"/>
    <w:p>
      <w:pPr>
        <w:pStyle w:val="Heading3"/>
      </w:pPr>
      <w:r>
        <w:rPr>
          <w:rStyle w:val="SectionNumber"/>
        </w:rPr>
        <w:t xml:space="preserve">4.6.4</w:t>
      </w:r>
      <w:r>
        <w:tab/>
      </w:r>
      <w:r>
        <w:t xml:space="preserve">Design principles and considerations</w:t>
      </w:r>
    </w:p>
    <w:p>
      <w:pPr>
        <w:pStyle w:val="FirstParagraph"/>
      </w:pPr>
      <w:r>
        <w:t xml:space="preserve">Previous literature has explored the key design considerations for</w:t>
      </w:r>
      <w:r>
        <w:t xml:space="preserve"> </w:t>
      </w:r>
      <w:r>
        <w:t xml:space="preserve">frequency control arrangements.</w:t>
      </w:r>
      <w:r>
        <w:t xml:space="preserve"> </w:t>
      </w:r>
      <w:r>
        <w:t xml:space="preserve">(</w:t>
      </w:r>
      <w:hyperlink w:anchor="ref-Rebours2007b">
        <w:r>
          <w:rPr>
            <w:rStyle w:val="Hyperlink"/>
            <w:bCs/>
            <w:b/>
          </w:rPr>
          <w:t xml:space="preserve">Rebours2007b?</w:t>
        </w:r>
      </w:hyperlink>
      <w:r>
        <w:t xml:space="preserve">)</w:t>
      </w:r>
      <w:r>
        <w:t xml:space="preserve"> </w:t>
      </w:r>
      <w:r>
        <w:t xml:space="preserve">outline design principles</w:t>
      </w:r>
      <w:r>
        <w:t xml:space="preserve"> </w:t>
      </w:r>
      <w:r>
        <w:t xml:space="preserve">for power pool markets related to the frequency control services</w:t>
      </w:r>
      <w:r>
        <w:t xml:space="preserve"> </w:t>
      </w:r>
      <w:r>
        <w:t xml:space="preserve">procurement, price formation, cost-allocation and market structure,</w:t>
      </w:r>
      <w:r>
        <w:t xml:space="preserve"> </w:t>
      </w:r>
      <w:r>
        <w:t xml:space="preserve">which includes how frequency control services are offered, remunerated</w:t>
      </w:r>
      <w:r>
        <w:t xml:space="preserve"> </w:t>
      </w:r>
      <w:r>
        <w:t xml:space="preserve">and cleared in markets, in addition to market operation and regulation.</w:t>
      </w:r>
      <w:r>
        <w:t xml:space="preserve"> </w:t>
      </w:r>
      <w:r>
        <w:t xml:space="preserve">(</w:t>
      </w:r>
      <w:hyperlink w:anchor="ref-VanderVeen2016">
        <w:r>
          <w:rPr>
            <w:rStyle w:val="Hyperlink"/>
            <w:bCs/>
            <w:b/>
          </w:rPr>
          <w:t xml:space="preserve">VanderVeen2016?</w:t>
        </w:r>
      </w:hyperlink>
      <w:r>
        <w:t xml:space="preserve">)</w:t>
      </w:r>
      <w:r>
        <w:t xml:space="preserve"> </w:t>
      </w:r>
      <w:r>
        <w:t xml:space="preserve">build upon the work of</w:t>
      </w:r>
      <w:r>
        <w:t xml:space="preserve"> </w:t>
      </w:r>
      <w:r>
        <w:t xml:space="preserve">(</w:t>
      </w:r>
      <w:hyperlink w:anchor="ref-Rebours2007b">
        <w:r>
          <w:rPr>
            <w:rStyle w:val="Hyperlink"/>
            <w:bCs/>
            <w:b/>
          </w:rPr>
          <w:t xml:space="preserve">Rebours2007b?</w:t>
        </w:r>
      </w:hyperlink>
      <w:r>
        <w:t xml:space="preserve">)</w:t>
      </w:r>
      <w:r>
        <w:t xml:space="preserve"> </w:t>
      </w:r>
      <w:r>
        <w:t xml:space="preserve">to provides a more</w:t>
      </w:r>
      <w:r>
        <w:t xml:space="preserve"> </w:t>
      </w:r>
      <w:r>
        <w:t xml:space="preserve">comprehensive treatment of frequency control arrangement design</w:t>
      </w:r>
      <w:r>
        <w:t xml:space="preserve"> </w:t>
      </w:r>
      <w:r>
        <w:t xml:space="preserve">variables and performance criteria. The key contribution of</w:t>
      </w:r>
      <w:r>
        <w:t xml:space="preserve"> </w:t>
      </w:r>
      <w:r>
        <w:t xml:space="preserve">(</w:t>
      </w:r>
      <w:hyperlink w:anchor="ref-VanderVeen2016">
        <w:r>
          <w:rPr>
            <w:rStyle w:val="Hyperlink"/>
            <w:bCs/>
            <w:b/>
          </w:rPr>
          <w:t xml:space="preserve">VanderVeen2016?</w:t>
        </w:r>
      </w:hyperlink>
      <w:r>
        <w:t xml:space="preserve">)</w:t>
      </w:r>
      <w:r>
        <w:t xml:space="preserve"> </w:t>
      </w:r>
      <w:r>
        <w:t xml:space="preserve">is that they explore some of the trade-offs between</w:t>
      </w:r>
      <w:r>
        <w:t xml:space="preserve"> </w:t>
      </w:r>
      <w:r>
        <w:t xml:space="preserve">performance criteria when designing frequency control services markets.</w:t>
      </w:r>
      <w:r>
        <w:t xml:space="preserve"> </w:t>
      </w:r>
      <w:r>
        <w:t xml:space="preserve">However, as they focus on the design challenge in European bilateral</w:t>
      </w:r>
      <w:r>
        <w:t xml:space="preserve"> </w:t>
      </w:r>
      <w:r>
        <w:t xml:space="preserve">markets, some of these trade-offs are not relevant to or present in</w:t>
      </w:r>
      <w:r>
        <w:t xml:space="preserve"> </w:t>
      </w:r>
      <w:r>
        <w:t xml:space="preserve">mandatory pool markets.</w:t>
      </w:r>
    </w:p>
    <w:p>
      <w:pPr>
        <w:pStyle w:val="BodyText"/>
      </w:pPr>
      <w:r>
        <w:t xml:space="preserve">Both</w:t>
      </w:r>
      <w:r>
        <w:t xml:space="preserve"> </w:t>
      </w:r>
      <w:r>
        <w:t xml:space="preserve">(</w:t>
      </w:r>
      <w:hyperlink w:anchor="ref-Rebours2007b">
        <w:r>
          <w:rPr>
            <w:rStyle w:val="Hyperlink"/>
            <w:bCs/>
            <w:b/>
          </w:rPr>
          <w:t xml:space="preserve">Rebours2007b?</w:t>
        </w:r>
      </w:hyperlink>
      <w:r>
        <w:t xml:space="preserve">)</w:t>
      </w:r>
      <w:r>
        <w:t xml:space="preserve"> </w:t>
      </w:r>
      <w:r>
        <w:t xml:space="preserve">and</w:t>
      </w:r>
      <w:r>
        <w:t xml:space="preserve"> </w:t>
      </w:r>
      <w:r>
        <w:t xml:space="preserve">(</w:t>
      </w:r>
      <w:hyperlink w:anchor="ref-VanderVeen2016">
        <w:r>
          <w:rPr>
            <w:rStyle w:val="Hyperlink"/>
            <w:bCs/>
            <w:b/>
          </w:rPr>
          <w:t xml:space="preserve">VanderVeen2016?</w:t>
        </w:r>
      </w:hyperlink>
      <w:r>
        <w:t xml:space="preserve">)</w:t>
      </w:r>
      <w:r>
        <w:t xml:space="preserve"> </w:t>
      </w:r>
      <w:r>
        <w:t xml:space="preserve">emphasise that good design will</w:t>
      </w:r>
      <w:r>
        <w:t xml:space="preserve"> </w:t>
      </w:r>
      <w:r>
        <w:t xml:space="preserve">lead to efficient and effective frequency control arrangements. However,</w:t>
      </w:r>
      <w:r>
        <w:t xml:space="preserve"> </w:t>
      </w:r>
      <w:r>
        <w:t xml:space="preserve">(</w:t>
      </w:r>
      <w:hyperlink w:anchor="ref-VanderVeen2016">
        <w:r>
          <w:rPr>
            <w:rStyle w:val="Hyperlink"/>
            <w:bCs/>
            <w:b/>
          </w:rPr>
          <w:t xml:space="preserve">VanderVeen2016?</w:t>
        </w:r>
      </w:hyperlink>
      <w:r>
        <w:t xml:space="preserve">)</w:t>
      </w:r>
      <w:r>
        <w:t xml:space="preserve"> </w:t>
      </w:r>
      <w:r>
        <w:t xml:space="preserve">focuses solely on market design whilst</w:t>
      </w:r>
      <w:r>
        <w:t xml:space="preserve"> </w:t>
      </w:r>
      <w:r>
        <w:t xml:space="preserve">(</w:t>
      </w:r>
      <w:hyperlink w:anchor="ref-Rebours2007b">
        <w:r>
          <w:rPr>
            <w:rStyle w:val="Hyperlink"/>
            <w:bCs/>
            <w:b/>
          </w:rPr>
          <w:t xml:space="preserve">Rebours2007b?</w:t>
        </w:r>
      </w:hyperlink>
      <w:r>
        <w:t xml:space="preserve">)</w:t>
      </w:r>
      <w:r>
        <w:t xml:space="preserve"> </w:t>
      </w:r>
      <w:r>
        <w:t xml:space="preserve">assesses various competitive procurement options but only briefly</w:t>
      </w:r>
      <w:r>
        <w:t xml:space="preserve"> </w:t>
      </w:r>
      <w:r>
        <w:t xml:space="preserve">discusses the relative merits of compulsory provision of frequency</w:t>
      </w:r>
      <w:r>
        <w:t xml:space="preserve"> </w:t>
      </w:r>
      <w:r>
        <w:t xml:space="preserve">control services through regulatory mechanisms. The work from these</w:t>
      </w:r>
      <w:r>
        <w:t xml:space="preserve"> </w:t>
      </w:r>
      <w:r>
        <w:t xml:space="preserve">authors concentrates on achieving economic efficiency but pays</w:t>
      </w:r>
      <w:r>
        <w:t xml:space="preserve"> </w:t>
      </w:r>
      <w:r>
        <w:t xml:space="preserve">relatively little attention to the technical capabilities of power</w:t>
      </w:r>
      <w:r>
        <w:t xml:space="preserve"> </w:t>
      </w:r>
      <w:r>
        <w:t xml:space="preserve">system resources and the design of and interactions between frequency</w:t>
      </w:r>
      <w:r>
        <w:t xml:space="preserve"> </w:t>
      </w:r>
      <w:r>
        <w:t xml:space="preserve">control products.</w:t>
      </w:r>
    </w:p>
    <w:bookmarkStart w:id="101" w:name="holistic-design"/>
    <w:p>
      <w:pPr>
        <w:pStyle w:val="Heading5"/>
      </w:pPr>
      <w:r>
        <w:rPr>
          <w:rStyle w:val="SectionNumber"/>
        </w:rPr>
        <w:t xml:space="preserve">4.6.4.0.1</w:t>
      </w:r>
      <w:r>
        <w:tab/>
      </w:r>
      <w:r>
        <w:t xml:space="preserve">Holistic design</w:t>
      </w:r>
    </w:p>
    <w:p>
      <w:pPr>
        <w:pStyle w:val="FirstParagraph"/>
      </w:pPr>
      <w:r>
        <w:t xml:space="preserve">(</w:t>
      </w:r>
      <w:hyperlink w:anchor="ref-Ela2012b">
        <w:r>
          <w:rPr>
            <w:rStyle w:val="Hyperlink"/>
            <w:bCs/>
            <w:b/>
          </w:rPr>
          <w:t xml:space="preserve">Ela2012b?</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MacGill2020a">
        <w:r>
          <w:rPr>
            <w:rStyle w:val="Hyperlink"/>
            <w:bCs/>
            <w:b/>
          </w:rPr>
          <w:t xml:space="preserve">MacGill2020a?</w:t>
        </w:r>
      </w:hyperlink>
      <w:r>
        <w:t xml:space="preserve">)</w:t>
      </w:r>
      <w:r>
        <w:t xml:space="preserve"> </w:t>
      </w:r>
      <w:r>
        <w:t xml:space="preserve">recognise that power system</w:t>
      </w:r>
      <w:r>
        <w:t xml:space="preserve"> </w:t>
      </w:r>
      <w:r>
        <w:t xml:space="preserve">frequency control arrangements are typically composed of a mixture of</w:t>
      </w:r>
      <w:r>
        <w:t xml:space="preserve"> </w:t>
      </w:r>
      <w:r>
        <w:t xml:space="preserve">market-based mechanisms and regulatory mechanisms that are compatible</w:t>
      </w:r>
      <w:r>
        <w:t xml:space="preserve"> </w:t>
      </w:r>
      <w:r>
        <w:t xml:space="preserve">with the physics and control needs of the power system. The challenge</w:t>
      </w:r>
      <w:r>
        <w:t xml:space="preserve"> </w:t>
      </w:r>
      <w:r>
        <w:t xml:space="preserve">here is determining the appropriate combination of these options for</w:t>
      </w:r>
      <w:r>
        <w:t xml:space="preserve"> </w:t>
      </w:r>
      <w:r>
        <w:t xml:space="preserve">procurement, and the most suitable control mechanisms that account for</w:t>
      </w:r>
      <w:r>
        <w:t xml:space="preserve"> </w:t>
      </w:r>
      <w:r>
        <w:t xml:space="preserve">both frequency control capabilities and the physical performance</w:t>
      </w:r>
      <w:r>
        <w:t xml:space="preserve"> </w:t>
      </w:r>
      <w:r>
        <w:t xml:space="preserve">required by a power system. This can only be achieved by considering the</w:t>
      </w:r>
      <w:r>
        <w:t xml:space="preserve"> </w:t>
      </w:r>
      <w:r>
        <w:t xml:space="preserve">interactions, or</w:t>
      </w:r>
      <w:r>
        <w:t xml:space="preserve"> </w:t>
      </w:r>
      <w:r>
        <w:rPr>
          <w:iCs/>
          <w:i/>
        </w:rPr>
        <w:t xml:space="preserve">interfaces</w:t>
      </w:r>
      <w:r>
        <w:t xml:space="preserve">, between mechanisms within a power</w:t>
      </w:r>
      <w:r>
        <w:t xml:space="preserve"> </w:t>
      </w:r>
      <w:r>
        <w:t xml:space="preserve">system’s frequency control strategy.</w:t>
      </w:r>
    </w:p>
    <w:bookmarkEnd w:id="101"/>
    <w:bookmarkStart w:id="109" w:name="interfaces"/>
    <w:p>
      <w:pPr>
        <w:pStyle w:val="Heading5"/>
      </w:pPr>
      <w:r>
        <w:rPr>
          <w:rStyle w:val="SectionNumber"/>
        </w:rPr>
        <w:t xml:space="preserve">4.6.4.0.2</w:t>
      </w:r>
      <w:r>
        <w:tab/>
      </w:r>
      <w:r>
        <w:t xml:space="preserve">Interfaces</w:t>
      </w:r>
    </w:p>
    <w:p>
      <w:pPr>
        <w:pStyle w:val="FirstParagraph"/>
      </w:pPr>
      <w:r>
        <w:t xml:space="preserve">The concept of interfaces in electricity industry decision-making is</w:t>
      </w:r>
      <w:r>
        <w:t xml:space="preserve"> </w:t>
      </w:r>
      <w:r>
        <w:t xml:space="preserve">distinct but coupled to the frequency control arrangement design layers</w:t>
      </w:r>
      <w:r>
        <w:t xml:space="preserve"> </w:t>
      </w:r>
      <w:r>
        <w:t xml:space="preserve">discussed above. Interfaces were first formalised by</w:t>
      </w:r>
      <w:r>
        <w:t xml:space="preserve"> </w:t>
      </w:r>
      <w:r>
        <w:t xml:space="preserve">(</w:t>
      </w:r>
      <w:hyperlink w:anchor="ref-Thorncraft2007">
        <w:r>
          <w:rPr>
            <w:rStyle w:val="Hyperlink"/>
            <w:bCs/>
            <w:b/>
          </w:rPr>
          <w:t xml:space="preserve">Thorncraft2007?</w:t>
        </w:r>
      </w:hyperlink>
      <w:r>
        <w:t xml:space="preserve">)</w:t>
      </w:r>
      <w:r>
        <w:t xml:space="preserve">,</w:t>
      </w:r>
      <w:r>
        <w:t xml:space="preserve"> </w:t>
      </w:r>
      <w:r>
        <w:t xml:space="preserve">specifically with relation to the security decision-making interface</w:t>
      </w:r>
      <w:r>
        <w:t xml:space="preserve"> </w:t>
      </w:r>
      <w:r>
        <w:t xml:space="preserve">between commercial decision-making processes (i.e. processes within</w:t>
      </w:r>
      <w:r>
        <w:t xml:space="preserve"> </w:t>
      </w:r>
      <w:r>
        <w:t xml:space="preserve">market-based mechanisms) and the technical and physical processes and</w:t>
      </w:r>
      <w:r>
        <w:t xml:space="preserve"> </w:t>
      </w:r>
      <w:r>
        <w:t xml:space="preserve">the requirements of the power system (i.e. frequency control capability</w:t>
      </w:r>
      <w:r>
        <w:t xml:space="preserve"> </w:t>
      </w:r>
      <w:r>
        <w:t xml:space="preserve">and physical performance)</w:t>
      </w:r>
      <w:r>
        <w:t xml:space="preserve"> </w:t>
      </w:r>
      <w:r>
        <w:t xml:space="preserve">(</w:t>
      </w:r>
      <w:hyperlink w:anchor="ref-Thorncraft2009">
        <w:r>
          <w:rPr>
            <w:rStyle w:val="Hyperlink"/>
            <w:bCs/>
            <w:b/>
          </w:rPr>
          <w:t xml:space="preserve">Thorncraft2009?</w:t>
        </w:r>
      </w:hyperlink>
      <w:r>
        <w:t xml:space="preserve">)</w:t>
      </w:r>
      <w:r>
        <w:t xml:space="preserve">.</w:t>
      </w:r>
    </w:p>
    <w:bookmarkStart w:id="102" w:name="security-decision-making-interface."/>
    <w:p>
      <w:pPr>
        <w:pStyle w:val="Heading6"/>
      </w:pPr>
      <w:r>
        <w:rPr>
          <w:rStyle w:val="SectionNumber"/>
        </w:rPr>
        <w:t xml:space="preserve">4.6.4.0.2.1</w:t>
      </w:r>
      <w:r>
        <w:tab/>
      </w:r>
      <w:r>
        <w:t xml:space="preserve">Security decision-making interface.</w:t>
      </w:r>
    </w:p>
    <w:p>
      <w:pPr>
        <w:pStyle w:val="FirstParagraph"/>
      </w:pPr>
      <w:r>
        <w:t xml:space="preserve">The security decision-making interface includes system operator</w:t>
      </w:r>
      <w:r>
        <w:t xml:space="preserve"> </w:t>
      </w:r>
      <w:r>
        <w:t xml:space="preserve">processes in integrated markets (e.g. SCUC and SCED) which co-optimise</w:t>
      </w:r>
      <w:r>
        <w:t xml:space="preserve"> </w:t>
      </w:r>
      <w:r>
        <w:t xml:space="preserve">the provision of energy and frequency control services</w:t>
      </w:r>
      <w:r>
        <w:t xml:space="preserve"> </w:t>
      </w:r>
      <w:r>
        <w:t xml:space="preserve">(</w:t>
      </w:r>
      <w:hyperlink w:anchor="ref-Chow2005">
        <w:r>
          <w:rPr>
            <w:rStyle w:val="Hyperlink"/>
            <w:bCs/>
            <w:b/>
          </w:rPr>
          <w:t xml:space="preserve">Chow2005?</w:t>
        </w:r>
      </w:hyperlink>
      <w:r>
        <w:t xml:space="preserve">)</w:t>
      </w:r>
      <w:r>
        <w:t xml:space="preserve">.</w:t>
      </w:r>
      <w:r>
        <w:t xml:space="preserve"> </w:t>
      </w:r>
      <w:r>
        <w:t xml:space="preserve">Literature has explored enhancing unit commitment and economic dispatch</w:t>
      </w:r>
      <w:r>
        <w:t xml:space="preserve"> </w:t>
      </w:r>
      <w:r>
        <w:t xml:space="preserve">processes for frequency control through frequency response constraints</w:t>
      </w:r>
      <w:r>
        <w:t xml:space="preserve"> </w:t>
      </w:r>
      <w:r>
        <w:t xml:space="preserve">(</w:t>
      </w:r>
      <w:hyperlink w:anchor="ref-Ela2014">
        <w:r>
          <w:rPr>
            <w:rStyle w:val="Hyperlink"/>
            <w:bCs/>
            <w:b/>
          </w:rPr>
          <w:t xml:space="preserve">Ela2014?</w:t>
        </w:r>
      </w:hyperlink>
      <w:r>
        <w:t xml:space="preserve">;</w:t>
      </w:r>
      <w:r>
        <w:t xml:space="preserve"> </w:t>
      </w:r>
      <w:hyperlink w:anchor="ref-Doherty2005">
        <w:r>
          <w:rPr>
            <w:rStyle w:val="Hyperlink"/>
            <w:bCs/>
            <w:b/>
          </w:rPr>
          <w:t xml:space="preserve">Doherty2005?</w:t>
        </w:r>
      </w:hyperlink>
      <w:r>
        <w:t xml:space="preserve">;</w:t>
      </w:r>
      <w:r>
        <w:t xml:space="preserve"> </w:t>
      </w:r>
      <w:hyperlink w:anchor="ref-Teng2015">
        <w:r>
          <w:rPr>
            <w:rStyle w:val="Hyperlink"/>
            <w:bCs/>
            <w:b/>
          </w:rPr>
          <w:t xml:space="preserve">Teng2015?</w:t>
        </w:r>
      </w:hyperlink>
      <w:r>
        <w:t xml:space="preserve">;</w:t>
      </w:r>
      <w:r>
        <w:t xml:space="preserve"> </w:t>
      </w:r>
      <w:hyperlink w:anchor="ref-Mancarella2017a">
        <w:r>
          <w:rPr>
            <w:rStyle w:val="Hyperlink"/>
            <w:bCs/>
            <w:b/>
          </w:rPr>
          <w:t xml:space="preserve">Mancarella2017a?</w:t>
        </w:r>
      </w:hyperlink>
      <w:r>
        <w:t xml:space="preserve">)</w:t>
      </w:r>
      <w:r>
        <w:t xml:space="preserve"> </w:t>
      </w:r>
      <w:r>
        <w:t xml:space="preserve">and, more</w:t>
      </w:r>
      <w:r>
        <w:t xml:space="preserve"> </w:t>
      </w:r>
      <w:r>
        <w:t xml:space="preserve">recently, inertia constraints</w:t>
      </w:r>
      <w:r>
        <w:t xml:space="preserve"> </w:t>
      </w:r>
      <w:r>
        <w:t xml:space="preserve">(</w:t>
      </w:r>
      <w:hyperlink w:anchor="ref-Gu2020">
        <w:r>
          <w:rPr>
            <w:rStyle w:val="Hyperlink"/>
            <w:bCs/>
            <w:b/>
          </w:rPr>
          <w:t xml:space="preserve">Gu2020?</w:t>
        </w:r>
      </w:hyperlink>
      <w:r>
        <w:t xml:space="preserve">;</w:t>
      </w:r>
      <w:r>
        <w:t xml:space="preserve"> </w:t>
      </w:r>
      <w:hyperlink w:anchor="ref-Johnson2020">
        <w:r>
          <w:rPr>
            <w:rStyle w:val="Hyperlink"/>
            <w:bCs/>
            <w:b/>
          </w:rPr>
          <w:t xml:space="preserve">Johnson2020?</w:t>
        </w:r>
      </w:hyperlink>
      <w:r>
        <w:t xml:space="preserve">)</w:t>
      </w:r>
      <w:r>
        <w:t xml:space="preserve">. However, these</w:t>
      </w:r>
      <w:r>
        <w:t xml:space="preserve"> </w:t>
      </w:r>
      <w:r>
        <w:t xml:space="preserve">studies implicitly assume that existing security decision-making</w:t>
      </w:r>
      <w:r>
        <w:t xml:space="preserve"> </w:t>
      </w:r>
      <w:r>
        <w:t xml:space="preserve">processes and frequency control products are adequate and efficient, and</w:t>
      </w:r>
      <w:r>
        <w:t xml:space="preserve"> </w:t>
      </w:r>
      <w:r>
        <w:t xml:space="preserve">will therefore perform well.</w:t>
      </w:r>
    </w:p>
    <w:bookmarkEnd w:id="102"/>
    <w:bookmarkStart w:id="106" w:name="X6c08c7c79a4fed6f4599846c17bb2cae3e0eb78"/>
    <w:p>
      <w:pPr>
        <w:pStyle w:val="Heading6"/>
      </w:pPr>
      <w:r>
        <w:rPr>
          <w:rStyle w:val="SectionNumber"/>
        </w:rPr>
        <w:t xml:space="preserve">4.6.4.0.2.2</w:t>
      </w:r>
      <w:r>
        <w:tab/>
      </w:r>
      <w:r>
        <w:t xml:space="preserve">Interfaces between mechanisms in the frequency control strategy</w:t>
      </w:r>
    </w:p>
    <w:p>
      <w:pPr>
        <w:pStyle w:val="FirstParagraph"/>
      </w:pPr>
      <w:r>
        <w:t xml:space="preserve">Interfaces change over time and with technological innovation</w:t>
      </w:r>
      <w:r>
        <w:t xml:space="preserve"> </w:t>
      </w:r>
      <w:r>
        <w:t xml:space="preserve">(</w:t>
      </w:r>
      <w:hyperlink w:anchor="ref-Thorncraft2009">
        <w:r>
          <w:rPr>
            <w:rStyle w:val="Hyperlink"/>
            <w:bCs/>
            <w:b/>
          </w:rPr>
          <w:t xml:space="preserve">Thorncraft2009?</w:t>
        </w:r>
      </w:hyperlink>
      <w:r>
        <w:t xml:space="preserve">)</w:t>
      </w:r>
      <w:r>
        <w:t xml:space="preserve">. The arrival of highly-controllable loads and IBR in</w:t>
      </w:r>
      <w:r>
        <w:t xml:space="preserve"> </w:t>
      </w:r>
      <w:r>
        <w:t xml:space="preserve">the power system warrants the consideration of a</w:t>
      </w:r>
      <w:r>
        <w:t xml:space="preserve"> </w:t>
      </w:r>
      <w:r>
        <w:rPr>
          <w:iCs/>
          <w:i/>
        </w:rPr>
        <w:t xml:space="preserve">control system</w:t>
      </w:r>
      <w:r>
        <w:t xml:space="preserve"> </w:t>
      </w:r>
      <w:r>
        <w:t xml:space="preserve">process that is separate from physical characteristics and processes</w:t>
      </w:r>
      <w:r>
        <w:t xml:space="preserve"> </w:t>
      </w:r>
      <w:r>
        <w:t xml:space="preserve">(</w:t>
      </w:r>
      <w:hyperlink w:anchor="fig:interfaces">
        <w:r>
          <w:rPr>
            <w:rStyle w:val="Hyperlink"/>
          </w:rPr>
          <w:t xml:space="preserve">8</w:t>
        </w:r>
      </w:hyperlink>
      <w:r>
        <w:t xml:space="preserve">).</w:t>
      </w:r>
    </w:p>
    <w:p>
      <w:pPr>
        <w:pStyle w:val="CaptionedFigure"/>
      </w:pPr>
      <w:r>
        <w:drawing>
          <wp:inline>
            <wp:extent cx="3685123" cy="3571970"/>
            <wp:effectExtent b="0" l="0" r="0" t="0"/>
            <wp:docPr descr="Interfaces between the frequency control capability and the mechanisms within the frequency control strategy of a power system." title="" id="104" name="Picture"/>
            <a:graphic>
              <a:graphicData uri="http://schemas.openxmlformats.org/drawingml/2006/picture">
                <pic:pic>
                  <pic:nvPicPr>
                    <pic:cNvPr descr="source/figures/interfaces_03.png" id="105" name="Picture"/>
                    <pic:cNvPicPr>
                      <a:picLocks noChangeArrowheads="1" noChangeAspect="1"/>
                    </pic:cNvPicPr>
                  </pic:nvPicPr>
                  <pic:blipFill>
                    <a:blip r:embed="rId103"/>
                    <a:stretch>
                      <a:fillRect/>
                    </a:stretch>
                  </pic:blipFill>
                  <pic:spPr bwMode="auto">
                    <a:xfrm>
                      <a:off x="0" y="0"/>
                      <a:ext cx="3685123" cy="3571970"/>
                    </a:xfrm>
                    <a:prstGeom prst="rect">
                      <a:avLst/>
                    </a:prstGeom>
                    <a:noFill/>
                    <a:ln w="9525">
                      <a:noFill/>
                      <a:headEnd/>
                      <a:tailEnd/>
                    </a:ln>
                  </pic:spPr>
                </pic:pic>
              </a:graphicData>
            </a:graphic>
          </wp:inline>
        </w:drawing>
      </w:r>
    </w:p>
    <w:p>
      <w:pPr>
        <w:pStyle w:val="ImageCaption"/>
      </w:pPr>
      <w:r>
        <w:t xml:space="preserve">Figure 6: Interfaces between the frequency control capability and the mechanisms</w:t>
      </w:r>
      <w:r>
        <w:t xml:space="preserve"> </w:t>
      </w:r>
      <w:r>
        <w:t xml:space="preserve">within the frequency control strategy of a power</w:t>
      </w:r>
      <w:r>
        <w:t xml:space="preserve"> </w:t>
      </w:r>
      <w:r>
        <w:t xml:space="preserve">system.</w:t>
      </w:r>
    </w:p>
    <w:bookmarkEnd w:id="106"/>
    <w:bookmarkStart w:id="107" w:name="Xb80b79901a2308c6054355cba036e5a5eb990e6"/>
    <w:p>
      <w:pPr>
        <w:pStyle w:val="Heading6"/>
      </w:pPr>
      <w:r>
        <w:rPr>
          <w:rStyle w:val="SectionNumber"/>
        </w:rPr>
        <w:t xml:space="preserve">4.6.4.0.2.3</w:t>
      </w:r>
      <w:r>
        <w:tab/>
      </w:r>
      <w:r>
        <w:t xml:space="preserve">Interface between control and procurement mechanisms.</w:t>
      </w:r>
    </w:p>
    <w:p>
      <w:pPr>
        <w:pStyle w:val="FirstParagraph"/>
      </w:pPr>
      <w:r>
        <w:t xml:space="preserve">Some literature has begun to explore the interface between control</w:t>
      </w:r>
      <w:r>
        <w:t xml:space="preserve"> </w:t>
      </w:r>
      <w:r>
        <w:t xml:space="preserve">mechanisms and market-based mechanisms.</w:t>
      </w:r>
      <w:r>
        <w:t xml:space="preserve"> </w:t>
      </w:r>
      <w:r>
        <w:t xml:space="preserve">(</w:t>
      </w:r>
      <w:hyperlink w:anchor="ref-Garcia2019a">
        <w:r>
          <w:rPr>
            <w:rStyle w:val="Hyperlink"/>
            <w:bCs/>
            <w:b/>
          </w:rPr>
          <w:t xml:space="preserve">Garcia2019a?</w:t>
        </w:r>
      </w:hyperlink>
      <w:r>
        <w:t xml:space="preserve">)</w:t>
      </w:r>
      <w:r>
        <w:t xml:space="preserve"> </w:t>
      </w:r>
      <w:r>
        <w:t xml:space="preserve">explore the impact</w:t>
      </w:r>
      <w:r>
        <w:t xml:space="preserve"> </w:t>
      </w:r>
      <w:r>
        <w:t xml:space="preserve">of interchangeability between FFR and PFC on total system frequency</w:t>
      </w:r>
      <w:r>
        <w:t xml:space="preserve"> </w:t>
      </w:r>
      <w:r>
        <w:t xml:space="preserve">control services costs.</w:t>
      </w:r>
      <w:r>
        <w:t xml:space="preserve"> </w:t>
      </w:r>
      <w:r>
        <w:t xml:space="preserve">(</w:t>
      </w:r>
      <w:hyperlink w:anchor="ref-Badesa2020">
        <w:r>
          <w:rPr>
            <w:rStyle w:val="Hyperlink"/>
            <w:bCs/>
            <w:b/>
          </w:rPr>
          <w:t xml:space="preserve">Badesa2020?</w:t>
        </w:r>
      </w:hyperlink>
      <w:r>
        <w:t xml:space="preserve">)</w:t>
      </w:r>
      <w:r>
        <w:t xml:space="preserve"> </w:t>
      </w:r>
      <w:r>
        <w:t xml:space="preserve">outlined an optimisation framework</w:t>
      </w:r>
      <w:r>
        <w:t xml:space="preserve"> </w:t>
      </w:r>
      <w:r>
        <w:t xml:space="preserve">that enables inertia, a reduction in contingency size and multi-speed</w:t>
      </w:r>
      <w:r>
        <w:t xml:space="preserve"> </w:t>
      </w:r>
      <w:r>
        <w:t xml:space="preserve">PFC to be procured based on RoCoF and frequency nadir constraints and,</w:t>
      </w:r>
      <w:r>
        <w:t xml:space="preserve"> </w:t>
      </w:r>
      <w:r>
        <w:t xml:space="preserve">more significantly, priced with a view of incentivising faster PFC and</w:t>
      </w:r>
      <w:r>
        <w:t xml:space="preserve"> </w:t>
      </w:r>
      <w:r>
        <w:t xml:space="preserve">synthetic/virtual inertia provision from IBR. However, these studies do</w:t>
      </w:r>
      <w:r>
        <w:t xml:space="preserve"> </w:t>
      </w:r>
      <w:r>
        <w:t xml:space="preserve">not consider how control mechanisms might interface with other</w:t>
      </w:r>
      <w:r>
        <w:t xml:space="preserve"> </w:t>
      </w:r>
      <w:r>
        <w:t xml:space="preserve">regulatory mechanisms, such as equipment performance standards.</w:t>
      </w:r>
    </w:p>
    <w:bookmarkEnd w:id="107"/>
    <w:bookmarkStart w:id="108" w:name="Xe79f36a8dfeef8249619989a06d6452b800304f"/>
    <w:p>
      <w:pPr>
        <w:pStyle w:val="Heading6"/>
      </w:pPr>
      <w:r>
        <w:rPr>
          <w:rStyle w:val="SectionNumber"/>
        </w:rPr>
        <w:t xml:space="preserve">4.6.4.0.2.4</w:t>
      </w:r>
      <w:r>
        <w:tab/>
      </w:r>
      <w:r>
        <w:t xml:space="preserve">Interface between procurement mechanisms.</w:t>
      </w:r>
    </w:p>
    <w:p>
      <w:pPr>
        <w:pStyle w:val="FirstParagraph"/>
      </w:pPr>
      <w:r>
        <w:t xml:space="preserve">In framing the design challenge for power system security services in</w:t>
      </w:r>
      <w:r>
        <w:t xml:space="preserve"> </w:t>
      </w:r>
      <w:r>
        <w:t xml:space="preserve">the NEM,</w:t>
      </w:r>
      <w:r>
        <w:t xml:space="preserve"> </w:t>
      </w:r>
      <w:r>
        <w:t xml:space="preserve">(</w:t>
      </w:r>
      <w:hyperlink w:anchor="ref-MacGill2020">
        <w:r>
          <w:rPr>
            <w:rStyle w:val="Hyperlink"/>
            <w:bCs/>
            <w:b/>
          </w:rPr>
          <w:t xml:space="preserve">MacGill2020?</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Skinner2020">
        <w:r>
          <w:rPr>
            <w:rStyle w:val="Hyperlink"/>
            <w:bCs/>
            <w:b/>
          </w:rPr>
          <w:t xml:space="preserve">Skinner2020?</w:t>
        </w:r>
      </w:hyperlink>
      <w:r>
        <w:t xml:space="preserve">)</w:t>
      </w:r>
      <w:r>
        <w:t xml:space="preserve"> </w:t>
      </w:r>
      <w:r>
        <w:t xml:space="preserve">acknowledge that</w:t>
      </w:r>
      <w:r>
        <w:t xml:space="preserve"> </w:t>
      </w:r>
      <w:r>
        <w:t xml:space="preserve">there is a choice between, or potential combination of regulatory</w:t>
      </w:r>
      <w:r>
        <w:t xml:space="preserve"> </w:t>
      </w:r>
      <w:r>
        <w:t xml:space="preserve">mechanisms and market-based mechanisms for procurement, with the latter</w:t>
      </w:r>
      <w:r>
        <w:t xml:space="preserve"> </w:t>
      </w:r>
      <w:r>
        <w:t xml:space="preserve">two exploring the various advantages and disadvantages of each option.</w:t>
      </w:r>
      <w:r>
        <w:t xml:space="preserve"> </w:t>
      </w:r>
      <w:r>
        <w:t xml:space="preserve">In particular,</w:t>
      </w:r>
      <w:r>
        <w:t xml:space="preserve"> </w:t>
      </w:r>
      <w:r>
        <w:t xml:space="preserve">(</w:t>
      </w:r>
      <w:hyperlink w:anchor="ref-Billimoria2020">
        <w:r>
          <w:rPr>
            <w:rStyle w:val="Hyperlink"/>
            <w:bCs/>
            <w:b/>
          </w:rPr>
          <w:t xml:space="preserve">Billimoria2020?</w:t>
        </w:r>
      </w:hyperlink>
      <w:r>
        <w:t xml:space="preserve">)</w:t>
      </w:r>
      <w:r>
        <w:t xml:space="preserve"> </w:t>
      </w:r>
      <w:r>
        <w:t xml:space="preserve">explores various procurement models and</w:t>
      </w:r>
      <w:r>
        <w:t xml:space="preserve"> </w:t>
      </w:r>
      <w:r>
        <w:t xml:space="preserve">how regulatory and market-based mechanisms may interact within them.</w:t>
      </w:r>
      <w:r>
        <w:t xml:space="preserve"> </w:t>
      </w:r>
      <w:r>
        <w:t xml:space="preserve">However, these procurement models are highly generic and further work is</w:t>
      </w:r>
      <w:r>
        <w:t xml:space="preserve"> </w:t>
      </w:r>
      <w:r>
        <w:t xml:space="preserve">required to determine how existing and emerging control mechanisms might</w:t>
      </w:r>
      <w:r>
        <w:t xml:space="preserve"> </w:t>
      </w:r>
      <w:r>
        <w:t xml:space="preserve">be structured in each of the models. Furthermore, there is a need to</w:t>
      </w:r>
      <w:r>
        <w:t xml:space="preserve"> </w:t>
      </w:r>
      <w:r>
        <w:t xml:space="preserve">understand how these procurement models might interface with and</w:t>
      </w:r>
      <w:r>
        <w:t xml:space="preserve"> </w:t>
      </w:r>
      <w:r>
        <w:t xml:space="preserve">integrate into existing and emerging market processes if an optimum for</w:t>
      </w:r>
      <w:r>
        <w:t xml:space="preserve"> </w:t>
      </w:r>
      <w:r>
        <w:t xml:space="preserve">the entire system is to be achieved</w:t>
      </w:r>
      <w:r>
        <w:t xml:space="preserve"> </w:t>
      </w:r>
      <w:r>
        <w:t xml:space="preserve">(</w:t>
      </w:r>
      <w:hyperlink w:anchor="ref-MacGill2020">
        <w:r>
          <w:rPr>
            <w:rStyle w:val="Hyperlink"/>
            <w:bCs/>
            <w:b/>
          </w:rPr>
          <w:t xml:space="preserve">MacGill2020?</w:t>
        </w:r>
      </w:hyperlink>
      <w:r>
        <w:t xml:space="preserve">)</w:t>
      </w:r>
      <w:r>
        <w:t xml:space="preserve">.</w:t>
      </w:r>
    </w:p>
    <w:bookmarkEnd w:id="108"/>
    <w:bookmarkEnd w:id="109"/>
    <w:bookmarkEnd w:id="110"/>
    <w:bookmarkEnd w:id="111"/>
    <w:bookmarkStart w:id="119" w:name="challenges-to-good-design"/>
    <w:p>
      <w:pPr>
        <w:pStyle w:val="Heading2"/>
      </w:pPr>
      <w:r>
        <w:rPr>
          <w:rStyle w:val="SectionNumber"/>
        </w:rPr>
        <w:t xml:space="preserve">4.7</w:t>
      </w:r>
      <w:r>
        <w:tab/>
      </w:r>
      <w:r>
        <w:t xml:space="preserve">Challenges to good design</w:t>
      </w:r>
    </w:p>
    <w:bookmarkStart w:id="116" w:name="inverter-based-resources"/>
    <w:p>
      <w:pPr>
        <w:pStyle w:val="Heading3"/>
      </w:pPr>
      <w:r>
        <w:rPr>
          <w:rStyle w:val="SectionNumber"/>
        </w:rPr>
        <w:t xml:space="preserve">4.7.1</w:t>
      </w:r>
      <w:r>
        <w:tab/>
      </w:r>
      <w:r>
        <w:t xml:space="preserve">Inverter-based resources</w:t>
      </w:r>
    </w:p>
    <w:p>
      <w:pPr>
        <w:pStyle w:val="FirstParagraph"/>
      </w:pPr>
      <w:r>
        <w:t xml:space="preserve">Inverter-based resources (IBR) include variable IBR (solar PV and Type</w:t>
      </w:r>
      <w:r>
        <w:t xml:space="preserve"> </w:t>
      </w:r>
      <w:r>
        <w:t xml:space="preserve">III and Type IV wind turbines</w:t>
      </w:r>
      <w:r>
        <w:t xml:space="preserve"> </w:t>
      </w:r>
      <w:r>
        <w:t xml:space="preserve">(</w:t>
      </w:r>
      <w:hyperlink w:anchor="ref-Wu2018">
        <w:r>
          <w:rPr>
            <w:rStyle w:val="Hyperlink"/>
            <w:bCs/>
            <w:b/>
          </w:rPr>
          <w:t xml:space="preserve">Wu2018?</w:t>
        </w:r>
      </w:hyperlink>
      <w:r>
        <w:t xml:space="preserve">)</w:t>
      </w:r>
      <w:r>
        <w:t xml:space="preserve">), BESS and high voltage direct</w:t>
      </w:r>
      <w:r>
        <w:t xml:space="preserve"> </w:t>
      </w:r>
      <w:r>
        <w:t xml:space="preserve">current (HVDC) links that connect to a power system through power</w:t>
      </w:r>
      <w:r>
        <w:t xml:space="preserve"> </w:t>
      </w:r>
      <w:r>
        <w:t xml:space="preserve">electronic devices. The impacts of variable IBR on frequency control are</w:t>
      </w:r>
      <w:r>
        <w:t xml:space="preserve"> </w:t>
      </w:r>
      <w:r>
        <w:t xml:space="preserve">of particular interest to system operators and market designers as many</w:t>
      </w:r>
      <w:r>
        <w:t xml:space="preserve"> </w:t>
      </w:r>
      <w:r>
        <w:t xml:space="preserve">power systems are currently experiencing high instantaneous penetrations</w:t>
      </w:r>
      <w:r>
        <w:t xml:space="preserve"> </w:t>
      </w:r>
      <w:r>
        <w:t xml:space="preserve">of variable IBR (in excess of 50%) and because many more are expected to</w:t>
      </w:r>
      <w:r>
        <w:t xml:space="preserve"> </w:t>
      </w:r>
      <w:r>
        <w:t xml:space="preserve">do so in the future</w:t>
      </w:r>
      <w:r>
        <w:t xml:space="preserve"> </w:t>
      </w:r>
      <w:r>
        <w:t xml:space="preserve">(</w:t>
      </w:r>
      <w:hyperlink w:anchor="ref-AustralianEnergyMarketOperator2019">
        <w:r>
          <w:rPr>
            <w:rStyle w:val="Hyperlink"/>
            <w:bCs/>
            <w:b/>
          </w:rPr>
          <w:t xml:space="preserve">AustralianEnergyMarketOperator2019?</w:t>
        </w:r>
      </w:hyperlink>
      <w:r>
        <w:t xml:space="preserve">;</w:t>
      </w:r>
      <w:r>
        <w:t xml:space="preserve"> </w:t>
      </w:r>
      <w:hyperlink w:anchor="ref-IRENA2020">
        <w:r>
          <w:rPr>
            <w:rStyle w:val="Hyperlink"/>
            <w:bCs/>
            <w:b/>
          </w:rPr>
          <w:t xml:space="preserve">IRENA2020?</w:t>
        </w:r>
      </w:hyperlink>
      <w:r>
        <w:t xml:space="preserve">)</w:t>
      </w:r>
      <w:r>
        <w:t xml:space="preserve">.</w:t>
      </w:r>
    </w:p>
    <w:bookmarkStart w:id="115" w:name="X43caa0f18789abf8aa56aef9c06b5a1b7c016ce"/>
    <w:p>
      <w:pPr>
        <w:pStyle w:val="Heading4"/>
      </w:pPr>
      <w:r>
        <w:rPr>
          <w:rStyle w:val="SectionNumber"/>
        </w:rPr>
        <w:t xml:space="preserve">4.7.1.1</w:t>
      </w:r>
      <w:r>
        <w:tab/>
      </w:r>
      <w:r>
        <w:t xml:space="preserve">Challenges posed by inverter-based resources</w:t>
      </w:r>
    </w:p>
    <w:p>
      <w:pPr>
        <w:pStyle w:val="FirstParagraph"/>
      </w:pPr>
      <w:r>
        <w:t xml:space="preserve">High penetrations of IBR in power systems pose challenges to frequency</w:t>
      </w:r>
      <w:r>
        <w:t xml:space="preserve"> </w:t>
      </w:r>
      <w:r>
        <w:t xml:space="preserve">control due to their characteristics, particularly in islanded power</w:t>
      </w:r>
      <w:r>
        <w:t xml:space="preserve"> </w:t>
      </w:r>
      <w:r>
        <w:t xml:space="preserve">systems or weakly-interconnected control areas that cannot rely on a</w:t>
      </w:r>
      <w:r>
        <w:t xml:space="preserve"> </w:t>
      </w:r>
      <w:r>
        <w:t xml:space="preserve">wider synchronous area for frequency control services</w:t>
      </w:r>
      <w:r>
        <w:t xml:space="preserve"> </w:t>
      </w:r>
      <w:r>
        <w:t xml:space="preserve">(</w:t>
      </w:r>
      <w:hyperlink w:anchor="ref-Hodge2020">
        <w:r>
          <w:rPr>
            <w:rStyle w:val="Hyperlink"/>
            <w:bCs/>
            <w:b/>
          </w:rPr>
          <w:t xml:space="preserve">Hodge2020?</w:t>
        </w:r>
      </w:hyperlink>
      <w:r>
        <w:t xml:space="preserve">)</w:t>
      </w:r>
      <w:r>
        <w:t xml:space="preserve">.</w:t>
      </w:r>
      <w:r>
        <w:t xml:space="preserve"> </w:t>
      </w:r>
      <w:r>
        <w:t xml:space="preserve">These include</w:t>
      </w:r>
      <w:r>
        <w:t xml:space="preserve"> </w:t>
      </w:r>
      <w:r>
        <w:t xml:space="preserve">(</w:t>
      </w:r>
      <w:hyperlink w:anchor="ref-Kroposki2019">
        <w:r>
          <w:rPr>
            <w:rStyle w:val="Hyperlink"/>
            <w:bCs/>
            <w:b/>
          </w:rPr>
          <w:t xml:space="preserve">Kroposki2019?</w:t>
        </w:r>
      </w:hyperlink>
      <w:r>
        <w:t xml:space="preserve">)</w:t>
      </w:r>
      <w:r>
        <w:t xml:space="preserve">:</w:t>
      </w:r>
    </w:p>
    <w:bookmarkStart w:id="112" w:name="interface-to-power-system"/>
    <w:p>
      <w:pPr>
        <w:pStyle w:val="Heading5"/>
      </w:pPr>
      <w:r>
        <w:rPr>
          <w:rStyle w:val="SectionNumber"/>
        </w:rPr>
        <w:t xml:space="preserve">4.7.1.1.1</w:t>
      </w:r>
      <w:r>
        <w:tab/>
      </w:r>
      <w:r>
        <w:t xml:space="preserve">Interface to power system</w:t>
      </w:r>
    </w:p>
    <w:p>
      <w:pPr>
        <w:pStyle w:val="FirstParagraph"/>
      </w:pPr>
      <w:r>
        <w:t xml:space="preserve">As IBR interface to a synchronous area through inverters, they are not</w:t>
      </w:r>
      <w:r>
        <w:t xml:space="preserve"> </w:t>
      </w:r>
      <w:r>
        <w:t xml:space="preserve">electromagnetically coupled to the power system and therefore do not</w:t>
      </w:r>
      <w:r>
        <w:t xml:space="preserve"> </w:t>
      </w:r>
      <w:r>
        <w:t xml:space="preserve">exhibit the inherent inertial response of synchronous generators. This</w:t>
      </w:r>
      <w:r>
        <w:t xml:space="preserve"> </w:t>
      </w:r>
      <w:r>
        <w:t xml:space="preserve">has two main implications. The first is that reduced inertial response</w:t>
      </w:r>
      <w:r>
        <w:t xml:space="preserve"> </w:t>
      </w:r>
      <w:r>
        <w:t xml:space="preserve">may affect power system stability during transients (e.g. rotor angle</w:t>
      </w:r>
      <w:r>
        <w:t xml:space="preserve"> </w:t>
      </w:r>
      <w:r>
        <w:t xml:space="preserve">stability)</w:t>
      </w:r>
      <w:r>
        <w:t xml:space="preserve"> </w:t>
      </w:r>
      <w:r>
        <w:t xml:space="preserve">(</w:t>
      </w:r>
      <w:hyperlink w:anchor="ref-Tielens2016">
        <w:r>
          <w:rPr>
            <w:rStyle w:val="Hyperlink"/>
            <w:bCs/>
            <w:b/>
          </w:rPr>
          <w:t xml:space="preserve">Tielens2016?</w:t>
        </w:r>
      </w:hyperlink>
      <w:r>
        <w:t xml:space="preserve">)</w:t>
      </w:r>
      <w:r>
        <w:t xml:space="preserve">, and the second is that a lack of inertia in</w:t>
      </w:r>
      <w:r>
        <w:t xml:space="preserve"> </w:t>
      </w:r>
      <w:r>
        <w:t xml:space="preserve">the power system can lead to higher RoCoF and therefore more severe</w:t>
      </w:r>
      <w:r>
        <w:t xml:space="preserve"> </w:t>
      </w:r>
      <w:r>
        <w:t xml:space="preserve">frequency nadirs or zeniths and the tripping of emergency protection</w:t>
      </w:r>
      <w:r>
        <w:t xml:space="preserve"> </w:t>
      </w:r>
      <w:r>
        <w:t xml:space="preserve">schemes that would otherwise not occur in high inertia systems</w:t>
      </w:r>
      <w:r>
        <w:t xml:space="preserve"> </w:t>
      </w:r>
      <w:r>
        <w:t xml:space="preserve">(</w:t>
      </w:r>
      <w:hyperlink w:anchor="ref-Machowski2020">
        <w:r>
          <w:rPr>
            <w:rStyle w:val="Hyperlink"/>
            <w:bCs/>
            <w:b/>
          </w:rPr>
          <w:t xml:space="preserve">Machowski2020?</w:t>
        </w:r>
      </w:hyperlink>
      <w:r>
        <w:t xml:space="preserve">;</w:t>
      </w:r>
      <w:r>
        <w:t xml:space="preserve"> </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 </w:t>
      </w:r>
      <w:hyperlink w:anchor="ref-Dreidy2017">
        <w:r>
          <w:rPr>
            <w:rStyle w:val="Hyperlink"/>
            <w:bCs/>
            <w:b/>
          </w:rPr>
          <w:t xml:space="preserve">Dreidy2017?</w:t>
        </w:r>
      </w:hyperlink>
      <w:r>
        <w:t xml:space="preserve">)</w:t>
      </w:r>
      <w:r>
        <w:t xml:space="preserve">.</w:t>
      </w:r>
    </w:p>
    <w:bookmarkEnd w:id="112"/>
    <w:bookmarkStart w:id="113" w:name="variability-and-uncertainty"/>
    <w:p>
      <w:pPr>
        <w:pStyle w:val="Heading5"/>
      </w:pPr>
      <w:r>
        <w:rPr>
          <w:rStyle w:val="SectionNumber"/>
        </w:rPr>
        <w:t xml:space="preserve">4.7.1.1.2</w:t>
      </w:r>
      <w:r>
        <w:tab/>
      </w:r>
      <w:r>
        <w:t xml:space="preserve">Variability and uncertainty</w:t>
      </w:r>
    </w:p>
    <w:p>
      <w:pPr>
        <w:pStyle w:val="FirstParagraph"/>
      </w:pPr>
      <w:r>
        <w:t xml:space="preserve">The aggregate degree of power system variability and uncertainty is</w:t>
      </w:r>
      <w:r>
        <w:t xml:space="preserve"> </w:t>
      </w:r>
      <w:r>
        <w:t xml:space="preserve">likely to increase with higher penetrations of variable IBR</w:t>
      </w:r>
      <w:r>
        <w:t xml:space="preserve"> </w:t>
      </w:r>
      <w:r>
        <w:t xml:space="preserve">(</w:t>
      </w:r>
      <w:hyperlink w:anchor="ref-Riesz2015a">
        <w:r>
          <w:rPr>
            <w:rStyle w:val="Hyperlink"/>
            <w:bCs/>
            <w:b/>
          </w:rPr>
          <w:t xml:space="preserve">Riesz2015a?</w:t>
        </w:r>
      </w:hyperlink>
      <w:r>
        <w:t xml:space="preserve">;</w:t>
      </w:r>
      <w:r>
        <w:t xml:space="preserve"> </w:t>
      </w:r>
      <w:hyperlink w:anchor="ref-AustralianEnergyMarketOperator2020b">
        <w:r>
          <w:rPr>
            <w:rStyle w:val="Hyperlink"/>
            <w:bCs/>
            <w:b/>
          </w:rPr>
          <w:t xml:space="preserve">AustralianEnergyMarketOperator2020b?</w:t>
        </w:r>
      </w:hyperlink>
      <w:r>
        <w:t xml:space="preserve">)</w:t>
      </w:r>
      <w:r>
        <w:t xml:space="preserve">. Variability not</w:t>
      </w:r>
      <w:r>
        <w:t xml:space="preserve"> </w:t>
      </w:r>
      <w:r>
        <w:t xml:space="preserve">only encompasses active power output variability during a dispatch</w:t>
      </w:r>
      <w:r>
        <w:t xml:space="preserve"> </w:t>
      </w:r>
      <w:r>
        <w:t xml:space="preserve">interval, which depends on the primary energy source and plant location</w:t>
      </w:r>
      <w:r>
        <w:t xml:space="preserve"> </w:t>
      </w:r>
      <w:r>
        <w:t xml:space="preserve">and configuration, but also includes large ramps due to the correlated</w:t>
      </w:r>
      <w:r>
        <w:t xml:space="preserve"> </w:t>
      </w:r>
      <w:r>
        <w:t xml:space="preserve">active power output of variable IBR over longer timeframes</w:t>
      </w:r>
      <w:r>
        <w:t xml:space="preserve"> </w:t>
      </w:r>
      <w:r>
        <w:t xml:space="preserve">(</w:t>
      </w:r>
      <w:hyperlink w:anchor="ref-Keeratimahat2019a">
        <w:r>
          <w:rPr>
            <w:rStyle w:val="Hyperlink"/>
            <w:bCs/>
            <w:b/>
          </w:rPr>
          <w:t xml:space="preserve">Keeratimahat2019a?</w:t>
        </w:r>
      </w:hyperlink>
      <w:r>
        <w:t xml:space="preserve">;</w:t>
      </w:r>
      <w:r>
        <w:t xml:space="preserve"> </w:t>
      </w:r>
      <w:hyperlink w:anchor="ref-AustralianEnergyMarketOperator2020d">
        <w:r>
          <w:rPr>
            <w:rStyle w:val="Hyperlink"/>
            <w:bCs/>
            <w:b/>
          </w:rPr>
          <w:t xml:space="preserve">AustralianEnergyMarketOperator2020d?</w:t>
        </w:r>
      </w:hyperlink>
      <w:r>
        <w:t xml:space="preserve">)</w:t>
      </w:r>
      <w:r>
        <w:t xml:space="preserve">. Power system</w:t>
      </w:r>
      <w:r>
        <w:t xml:space="preserve"> </w:t>
      </w:r>
      <w:r>
        <w:t xml:space="preserve">uncertainty will depend on the accuracy of weather and generation</w:t>
      </w:r>
      <w:r>
        <w:t xml:space="preserve"> </w:t>
      </w:r>
      <w:r>
        <w:t xml:space="preserve">forecasting, generator reliability and may also be a function of the</w:t>
      </w:r>
      <w:r>
        <w:t xml:space="preserve"> </w:t>
      </w:r>
      <w:r>
        <w:t xml:space="preserve">degree of visibility and control a system operator has over IBR,</w:t>
      </w:r>
      <w:r>
        <w:t xml:space="preserve"> </w:t>
      </w:r>
      <w:r>
        <w:t xml:space="preserve">particularly distributed energy resources such as rooftop solar PV and</w:t>
      </w:r>
      <w:r>
        <w:t xml:space="preserve"> </w:t>
      </w:r>
      <w:r>
        <w:t xml:space="preserve">electric vehicles</w:t>
      </w:r>
      <w:r>
        <w:t xml:space="preserve"> </w:t>
      </w:r>
      <w:r>
        <w:t xml:space="preserve">(</w:t>
      </w:r>
      <w:hyperlink w:anchor="ref-AustralianEnergyMarketOperator2020d">
        <w:r>
          <w:rPr>
            <w:rStyle w:val="Hyperlink"/>
            <w:bCs/>
            <w:b/>
          </w:rPr>
          <w:t xml:space="preserve">AustralianEnergyMarketOperator2020d?</w:t>
        </w:r>
      </w:hyperlink>
      <w:r>
        <w:t xml:space="preserve">;</w:t>
      </w:r>
      <w:r>
        <w:t xml:space="preserve"> </w:t>
      </w:r>
      <w:hyperlink w:anchor="ref-Wurth2019">
        <w:r>
          <w:rPr>
            <w:rStyle w:val="Hyperlink"/>
            <w:bCs/>
            <w:b/>
          </w:rPr>
          <w:t xml:space="preserve">Wurth2019?</w:t>
        </w:r>
      </w:hyperlink>
      <w:r>
        <w:t xml:space="preserve">;</w:t>
      </w:r>
      <w:r>
        <w:t xml:space="preserve"> </w:t>
      </w:r>
      <w:hyperlink w:anchor="ref-AustralianEnergyMarketOperator2020m">
        <w:r>
          <w:rPr>
            <w:rStyle w:val="Hyperlink"/>
            <w:bCs/>
            <w:b/>
          </w:rPr>
          <w:t xml:space="preserve">AustralianEnergyMarketOperator2020m?</w:t>
        </w:r>
      </w:hyperlink>
      <w:r>
        <w:t xml:space="preserve">)</w:t>
      </w:r>
      <w:r>
        <w:t xml:space="preserve">.</w:t>
      </w:r>
    </w:p>
    <w:bookmarkEnd w:id="113"/>
    <w:bookmarkStart w:id="114" w:name="provision-of-frequency-control-services"/>
    <w:p>
      <w:pPr>
        <w:pStyle w:val="Heading5"/>
      </w:pPr>
      <w:r>
        <w:rPr>
          <w:rStyle w:val="SectionNumber"/>
        </w:rPr>
        <w:t xml:space="preserve">4.7.1.1.3</w:t>
      </w:r>
      <w:r>
        <w:tab/>
      </w:r>
      <w:r>
        <w:t xml:space="preserve">Provision of frequency control services</w:t>
      </w:r>
    </w:p>
    <w:p>
      <w:pPr>
        <w:pStyle w:val="FirstParagraph"/>
      </w:pPr>
      <w:r>
        <w:t xml:space="preserve">The presence of synchronous machines and grid-following inverters makes</w:t>
      </w:r>
      <w:r>
        <w:t xml:space="preserve"> </w:t>
      </w:r>
      <w:r>
        <w:t xml:space="preserve">inertial response and frequency control necessary for secure and stable</w:t>
      </w:r>
      <w:r>
        <w:t xml:space="preserve"> </w:t>
      </w:r>
      <w:r>
        <w:t xml:space="preserve">operation of a power system. At high instantaneous penetrations, low</w:t>
      </w:r>
      <w:r>
        <w:t xml:space="preserve"> </w:t>
      </w:r>
      <w:r>
        <w:t xml:space="preserve">short-run marginal cost IBR may displace synchronous generators that</w:t>
      </w:r>
      <w:r>
        <w:t xml:space="preserve"> </w:t>
      </w:r>
      <w:r>
        <w:t xml:space="preserve">have traditionally provided inertial response and frequency control</w:t>
      </w:r>
      <w:r>
        <w:t xml:space="preserve"> </w:t>
      </w:r>
      <w:r>
        <w:t xml:space="preserve">services, and the load damping response may be minimal</w:t>
      </w:r>
      <w:r>
        <w:t xml:space="preserve"> </w:t>
      </w:r>
      <w:r>
        <w:t xml:space="preserve">(</w:t>
      </w:r>
      <w:hyperlink w:anchor="ref-Riesz2015a">
        <w:r>
          <w:rPr>
            <w:rStyle w:val="Hyperlink"/>
            <w:bCs/>
            <w:b/>
          </w:rPr>
          <w:t xml:space="preserve">Riesz2015a?</w:t>
        </w:r>
      </w:hyperlink>
      <w:r>
        <w:t xml:space="preserve">;</w:t>
      </w:r>
      <w:r>
        <w:t xml:space="preserve"> </w:t>
      </w:r>
      <w:hyperlink w:anchor="ref-Tielens2012">
        <w:r>
          <w:rPr>
            <w:rStyle w:val="Hyperlink"/>
            <w:bCs/>
            <w:b/>
          </w:rPr>
          <w:t xml:space="preserve">Tielens2012?</w:t>
        </w:r>
      </w:hyperlink>
      <w:r>
        <w:t xml:space="preserve">)</w:t>
      </w:r>
      <w:r>
        <w:t xml:space="preserve">. In these cases, the instantaneous inertia</w:t>
      </w:r>
      <w:r>
        <w:t xml:space="preserve"> </w:t>
      </w:r>
      <w:r>
        <w:t xml:space="preserve">constant of the system may be low and IBR may be needed to assist in</w:t>
      </w:r>
      <w:r>
        <w:t xml:space="preserve"> </w:t>
      </w:r>
      <w:r>
        <w:t xml:space="preserve">frequency control</w:t>
      </w:r>
      <w:r>
        <w:t xml:space="preserve"> </w:t>
      </w:r>
      <w:r>
        <w:t xml:space="preserve">(</w:t>
      </w:r>
      <w:hyperlink w:anchor="ref-Hartmann2019">
        <w:r>
          <w:rPr>
            <w:rStyle w:val="Hyperlink"/>
            <w:bCs/>
            <w:b/>
          </w:rPr>
          <w:t xml:space="preserve">Hartmann2019?</w:t>
        </w:r>
      </w:hyperlink>
      <w:r>
        <w:t xml:space="preserve">;</w:t>
      </w:r>
      <w:r>
        <w:t xml:space="preserve"> </w:t>
      </w:r>
      <w:hyperlink w:anchor="ref-Tielens2012">
        <w:r>
          <w:rPr>
            <w:rStyle w:val="Hyperlink"/>
            <w:bCs/>
            <w:b/>
          </w:rPr>
          <w:t xml:space="preserve">Tielens2012?</w:t>
        </w:r>
      </w:hyperlink>
      <w:r>
        <w:t xml:space="preserve">)</w:t>
      </w:r>
      <w:r>
        <w:t xml:space="preserve">. Through their inverter</w:t>
      </w:r>
      <w:r>
        <w:t xml:space="preserve"> </w:t>
      </w:r>
      <w:r>
        <w:t xml:space="preserve">control system, IBR are able exercise rapid and precise control of their</w:t>
      </w:r>
      <w:r>
        <w:t xml:space="preserve"> </w:t>
      </w:r>
      <w:r>
        <w:t xml:space="preserve">active power, within the constraints of primary or stored energy, to</w:t>
      </w:r>
      <w:r>
        <w:t xml:space="preserve"> </w:t>
      </w:r>
      <w:r>
        <w:t xml:space="preserve">provide what is known as</w:t>
      </w:r>
      <w:r>
        <w:t xml:space="preserve"> </w:t>
      </w:r>
      <w:r>
        <w:rPr>
          <w:iCs/>
          <w:i/>
        </w:rPr>
        <w:t xml:space="preserve">fast frequency response</w:t>
      </w:r>
      <w:r>
        <w:t xml:space="preserve"> </w:t>
      </w:r>
      <w:r>
        <w:t xml:space="preserve">(FFR)</w:t>
      </w:r>
      <w:r>
        <w:t xml:space="preserve"> </w:t>
      </w:r>
      <w:r>
        <w:t xml:space="preserve">(</w:t>
      </w:r>
      <w:hyperlink w:anchor="ref-Machowski2020">
        <w:r>
          <w:rPr>
            <w:rStyle w:val="Hyperlink"/>
            <w:bCs/>
            <w:b/>
          </w:rPr>
          <w:t xml:space="preserve">Machowski2020?</w:t>
        </w:r>
      </w:hyperlink>
      <w:r>
        <w:t xml:space="preserve">;</w:t>
      </w:r>
      <w:r>
        <w:t xml:space="preserve"> </w:t>
      </w:r>
      <w:hyperlink w:anchor="ref-Hodge2020">
        <w:r>
          <w:rPr>
            <w:rStyle w:val="Hyperlink"/>
            <w:bCs/>
            <w:b/>
          </w:rPr>
          <w:t xml:space="preserve">Hodge2020?</w:t>
        </w:r>
      </w:hyperlink>
      <w:r>
        <w:t xml:space="preserve">)</w:t>
      </w:r>
      <w:r>
        <w:t xml:space="preserve">.</w:t>
      </w:r>
    </w:p>
    <w:bookmarkEnd w:id="114"/>
    <w:bookmarkEnd w:id="115"/>
    <w:bookmarkEnd w:id="116"/>
    <w:bookmarkStart w:id="117" w:name="the-role-of-the-so"/>
    <w:p>
      <w:pPr>
        <w:pStyle w:val="Heading3"/>
      </w:pPr>
      <w:r>
        <w:rPr>
          <w:rStyle w:val="SectionNumber"/>
        </w:rPr>
        <w:t xml:space="preserve">4.7.2</w:t>
      </w:r>
      <w:r>
        <w:tab/>
      </w:r>
      <w:r>
        <w:t xml:space="preserve">The role of the SO</w:t>
      </w:r>
    </w:p>
    <w:bookmarkEnd w:id="117"/>
    <w:bookmarkStart w:id="118" w:name="grid-architectures"/>
    <w:p>
      <w:pPr>
        <w:pStyle w:val="Heading3"/>
      </w:pPr>
      <w:r>
        <w:rPr>
          <w:rStyle w:val="SectionNumber"/>
        </w:rPr>
        <w:t xml:space="preserve">4.7.3</w:t>
      </w:r>
      <w:r>
        <w:tab/>
      </w:r>
      <w:r>
        <w:t xml:space="preserve">Grid architectures</w:t>
      </w:r>
    </w:p>
    <w:bookmarkEnd w:id="118"/>
    <w:bookmarkEnd w:id="119"/>
    <w:bookmarkStart w:id="120" w:name="conclusion"/>
    <w:p>
      <w:pPr>
        <w:pStyle w:val="Heading2"/>
      </w:pPr>
      <w:r>
        <w:rPr>
          <w:rStyle w:val="SectionNumber"/>
        </w:rPr>
        <w:t xml:space="preserve">4.8</w:t>
      </w:r>
      <w:r>
        <w:tab/>
      </w:r>
      <w:r>
        <w:t xml:space="preserve">Conclusion</w:t>
      </w:r>
    </w:p>
    <w:p>
      <w:pPr>
        <w:pStyle w:val="FirstParagraph"/>
      </w:pPr>
      <w:r>
        <w:t xml:space="preserve">Frequency control is vital to the secure operation of a power system.</w:t>
      </w:r>
      <w:r>
        <w:t xml:space="preserve"> </w:t>
      </w:r>
      <w:r>
        <w:t xml:space="preserve">The inherent characteristics and control systems of IBR differ from</w:t>
      </w:r>
      <w:r>
        <w:t xml:space="preserve"> </w:t>
      </w:r>
      <w:r>
        <w:t xml:space="preserve">those of synchronous machines and this poses both opportunities and</w:t>
      </w:r>
      <w:r>
        <w:t xml:space="preserve"> </w:t>
      </w:r>
      <w:r>
        <w:t xml:space="preserve">challenges to frequency control arrangements in mandatory pool markets</w:t>
      </w:r>
      <w:r>
        <w:t xml:space="preserve"> </w:t>
      </w:r>
      <w:r>
        <w:t xml:space="preserve">with growing instantaneous penetrations of IBR. The frequency control</w:t>
      </w:r>
      <w:r>
        <w:t xml:space="preserve"> </w:t>
      </w:r>
      <w:r>
        <w:t xml:space="preserve">performance of a power system is highly influenced by the frequency</w:t>
      </w:r>
      <w:r>
        <w:t xml:space="preserve"> </w:t>
      </w:r>
      <w:r>
        <w:t xml:space="preserve">control strategy, which consists of the control mechanisms, electricity</w:t>
      </w:r>
      <w:r>
        <w:t xml:space="preserve"> </w:t>
      </w:r>
      <w:r>
        <w:t xml:space="preserve">market design and the regulatory mechanisms that are in place, and the</w:t>
      </w:r>
      <w:r>
        <w:t xml:space="preserve"> </w:t>
      </w:r>
      <w:r>
        <w:t xml:space="preserve">frequency control capability of its resources. Determining the</w:t>
      </w:r>
      <w:r>
        <w:t xml:space="preserve"> </w:t>
      </w:r>
      <w:r>
        <w:t xml:space="preserve">appropriate combination of these mechanisms will require examining the</w:t>
      </w:r>
      <w:r>
        <w:t xml:space="preserve"> </w:t>
      </w:r>
      <w:r>
        <w:t xml:space="preserve">interfaces between market-based, regulatory and control mechanisms and</w:t>
      </w:r>
      <w:r>
        <w:t xml:space="preserve"> </w:t>
      </w:r>
      <w:r>
        <w:t xml:space="preserve">identifying the benefits, costs and trade-offs associated with</w:t>
      </w:r>
      <w:r>
        <w:t xml:space="preserve"> </w:t>
      </w:r>
      <w:r>
        <w:t xml:space="preserve">particular design choices. This will enable electricity market designers</w:t>
      </w:r>
      <w:r>
        <w:t xml:space="preserve"> </w:t>
      </w:r>
      <w:r>
        <w:t xml:space="preserve">to make an informed choice in implementing effective and efficient</w:t>
      </w:r>
      <w:r>
        <w:t xml:space="preserve"> </w:t>
      </w:r>
      <w:r>
        <w:t xml:space="preserve">frequency control arrangements in low-carbon electricity markets.</w:t>
      </w:r>
    </w:p>
    <w:bookmarkEnd w:id="120"/>
    <w:bookmarkEnd w:id="121"/>
    <w:bookmarkStart w:id="122" w:name="sec:research_framework"/>
    <w:p>
      <w:pPr>
        <w:pStyle w:val="Heading1"/>
      </w:pPr>
      <w:r>
        <w:rPr>
          <w:rStyle w:val="SectionNumber"/>
        </w:rPr>
        <w:t xml:space="preserve">5</w:t>
      </w:r>
      <w:r>
        <w:tab/>
      </w:r>
      <w:r>
        <w:t xml:space="preserve">Research framework</w:t>
      </w:r>
    </w:p>
    <w:bookmarkEnd w:id="122"/>
    <w:bookmarkStart w:id="179" w:name="sec:fcs"/>
    <w:p>
      <w:pPr>
        <w:pStyle w:val="Heading1"/>
      </w:pPr>
      <w:r>
        <w:rPr>
          <w:rStyle w:val="SectionNumber"/>
        </w:rPr>
        <w:t xml:space="preserve">6</w:t>
      </w:r>
      <w:r>
        <w:tab/>
      </w:r>
      <w:r>
        <w:t xml:space="preserve">Frequency control arrangements: insights from the National Electricity Market</w:t>
      </w:r>
    </w:p>
    <w:bookmarkStart w:id="123"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23"/>
    <w:bookmarkStart w:id="124"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4"/>
    <w:bookmarkStart w:id="126"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5"/>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6"/>
        </w:numPr>
      </w:pPr>
      <w:r>
        <w:t xml:space="preserve">Mandate or incentivise participant behaviour in the energy market that facilitates system balancing. This includes enforcing dispatch compliance or penalising participant portfolio imbalances; and</w:t>
      </w:r>
    </w:p>
    <w:p>
      <w:pPr>
        <w:numPr>
          <w:ilvl w:val="0"/>
          <w:numId w:val="1006"/>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7"/>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7"/>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6"/>
    <w:bookmarkStart w:id="132" w:name="sec:fcs-context"/>
    <w:p>
      <w:pPr>
        <w:pStyle w:val="Heading2"/>
      </w:pPr>
      <w:r>
        <w:rPr>
          <w:rStyle w:val="SectionNumber"/>
        </w:rPr>
        <w:t xml:space="preserve">6.4</w:t>
      </w:r>
      <w:r>
        <w:tab/>
      </w:r>
      <w:r>
        <w:t xml:space="preserve">Context</w:t>
      </w:r>
    </w:p>
    <w:bookmarkStart w:id="127"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7"/>
    <w:bookmarkStart w:id="129" w:name="Xc82674c6760c115599413c45308acdf9ca7a6e4"/>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28"/>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29"/>
    <w:bookmarkStart w:id="130"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30"/>
    <w:bookmarkStart w:id="131"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31"/>
    <w:bookmarkEnd w:id="132"/>
    <w:bookmarkStart w:id="136" w:name="designing-frequency-control-arrangements"/>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8"/>
        </w:numPr>
      </w:pPr>
      <w:r>
        <w:t xml:space="preserve">FCS procurement;</w:t>
      </w:r>
    </w:p>
    <w:p>
      <w:pPr>
        <w:numPr>
          <w:ilvl w:val="0"/>
          <w:numId w:val="1008"/>
        </w:numPr>
      </w:pPr>
      <w:r>
        <w:t xml:space="preserve">Price formation, which when efficient should lead to FCS prices not only reflecting the true cost of the service, but also its true value to the system; and</w:t>
      </w:r>
    </w:p>
    <w:p>
      <w:pPr>
        <w:numPr>
          <w:ilvl w:val="0"/>
          <w:numId w:val="1008"/>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34"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33"/>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34"/>
    <w:bookmarkStart w:id="135"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5"/>
    <w:bookmarkEnd w:id="136"/>
    <w:bookmarkStart w:id="154" w:name="sec:fcs-nem"/>
    <w:p>
      <w:pPr>
        <w:pStyle w:val="Heading2"/>
      </w:pPr>
      <w:r>
        <w:rPr>
          <w:rStyle w:val="SectionNumber"/>
        </w:rPr>
        <w:t xml:space="preserve">6.6</w:t>
      </w:r>
      <w:r>
        <w:tab/>
      </w:r>
      <w:r>
        <w:t xml:space="preserve">Frequency control arrangements in the Australian National Electricity Market</w:t>
      </w:r>
    </w:p>
    <w:bookmarkStart w:id="140"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7).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8" name="Picture"/>
            <a:graphic>
              <a:graphicData uri="http://schemas.openxmlformats.org/drawingml/2006/picture">
                <pic:pic>
                  <pic:nvPicPr>
                    <pic:cNvPr descr="source/figures/NEM.png" id="139" name="Picture"/>
                    <pic:cNvPicPr>
                      <a:picLocks noChangeArrowheads="1" noChangeAspect="1"/>
                    </pic:cNvPicPr>
                  </pic:nvPicPr>
                  <pic:blipFill>
                    <a:blip r:embed="rId137"/>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40"/>
    <w:bookmarkStart w:id="143"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41"/>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2020e</w:t>
        </w:r>
      </w:hyperlink>
      <w:r>
        <w:t xml:space="preserve">)</w:t>
      </w:r>
      <w:r>
        <w:t xml:space="preserve">.</w:t>
      </w:r>
      <w:r>
        <w:t xml:space="preserve"> </w:t>
      </w:r>
      <w:bookmarkStart w:id="142" w:name="tbl:fcs-fcas"/>
      <w:bookmarkEnd w:id="142"/>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e).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43"/>
    <w:bookmarkStart w:id="144"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4"/>
    <w:bookmarkStart w:id="148"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8).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6" name="Picture"/>
            <a:graphic>
              <a:graphicData uri="http://schemas.openxmlformats.org/drawingml/2006/picture">
                <pic:pic>
                  <pic:nvPicPr>
                    <pic:cNvPr descr="source/figures/synchronous_ibr_entry_exit.eps" id="147" name="Picture"/>
                    <pic:cNvPicPr>
                      <a:picLocks noChangeArrowheads="1" noChangeAspect="1"/>
                    </pic:cNvPicPr>
                  </pic:nvPicPr>
                  <pic:blipFill>
                    <a:blip r:embed="rId145"/>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8"/>
    <w:bookmarkStart w:id="153"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9" w:name="control-mechanisms"/>
    <w:p>
      <w:pPr>
        <w:pStyle w:val="Heading4"/>
      </w:pPr>
      <w:r>
        <w:rPr>
          <w:rStyle w:val="SectionNumber"/>
        </w:rPr>
        <w:t xml:space="preserve">6.6.5.1</w:t>
      </w:r>
      <w:r>
        <w:tab/>
      </w:r>
      <w:r>
        <w:t xml:space="preserve">Control mechanisms:</w:t>
      </w:r>
    </w:p>
    <w:p>
      <w:pPr>
        <w:numPr>
          <w:ilvl w:val="0"/>
          <w:numId w:val="1009"/>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2020e</w:t>
        </w:r>
      </w:hyperlink>
      <w:r>
        <w:t xml:space="preserve">)</w:t>
      </w:r>
      <w:r>
        <w:t xml:space="preserve">.</w:t>
      </w:r>
    </w:p>
    <w:p>
      <w:pPr>
        <w:numPr>
          <w:ilvl w:val="0"/>
          <w:numId w:val="1009"/>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09"/>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49"/>
    <w:bookmarkStart w:id="150" w:name="market-based-mechanisms"/>
    <w:p>
      <w:pPr>
        <w:pStyle w:val="Heading4"/>
      </w:pPr>
      <w:r>
        <w:rPr>
          <w:rStyle w:val="SectionNumber"/>
        </w:rPr>
        <w:t xml:space="preserve">6.6.5.2</w:t>
      </w:r>
      <w:r>
        <w:tab/>
      </w:r>
      <w:r>
        <w:t xml:space="preserve">Market-based mechanisms:</w:t>
      </w:r>
    </w:p>
    <w:p>
      <w:pPr>
        <w:numPr>
          <w:ilvl w:val="0"/>
          <w:numId w:val="1010"/>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0"/>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0"/>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50"/>
    <w:bookmarkStart w:id="152" w:name="regulatory-mechanisms"/>
    <w:p>
      <w:pPr>
        <w:pStyle w:val="Heading4"/>
      </w:pPr>
      <w:r>
        <w:rPr>
          <w:rStyle w:val="SectionNumber"/>
        </w:rPr>
        <w:t xml:space="preserve">6.6.5.3</w:t>
      </w:r>
      <w:r>
        <w:tab/>
      </w:r>
      <w:r>
        <w:t xml:space="preserve">Regulatory mechanisms:</w:t>
      </w:r>
    </w:p>
    <w:p>
      <w:pPr>
        <w:numPr>
          <w:ilvl w:val="0"/>
          <w:numId w:val="1011"/>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51"/>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1"/>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2020i</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52"/>
    <w:bookmarkEnd w:id="153"/>
    <w:bookmarkEnd w:id="154"/>
    <w:bookmarkStart w:id="155"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55"/>
    <w:bookmarkStart w:id="160"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9). Wind and solar farms were either unresponsive, tripped due to protection settings in their inverters, or reduced their active power output in line with performance standards negotiated in their connection agreements (middle and bottom frames in Figure 9).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6"/>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8" name="Picture"/>
            <a:graphic>
              <a:graphicData uri="http://schemas.openxmlformats.org/drawingml/2006/picture">
                <pic:pic>
                  <pic:nvPicPr>
                    <pic:cNvPr descr="source/figures/all_responses_25082018.eps" id="159" name="Picture"/>
                    <pic:cNvPicPr>
                      <a:picLocks noChangeArrowheads="1" noChangeAspect="1"/>
                    </pic:cNvPicPr>
                  </pic:nvPicPr>
                  <pic:blipFill>
                    <a:blip r:embed="rId1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2020k</w:t>
        </w:r>
      </w:hyperlink>
      <w:r>
        <w:t xml:space="preserve">)</w:t>
      </w:r>
      <w:r>
        <w:t xml:space="preserve">.</w:t>
      </w:r>
    </w:p>
    <w:bookmarkEnd w:id="160"/>
    <w:bookmarkStart w:id="164"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2"/>
        </w:numPr>
        <w:pStyle w:val="Compact"/>
      </w:pPr>
      <w:r>
        <w:t xml:space="preserve">A lack of fast and decentralised tight-deadband PFR supporting slower SFR;</w:t>
      </w:r>
    </w:p>
    <w:p>
      <w:pPr>
        <w:numPr>
          <w:ilvl w:val="0"/>
          <w:numId w:val="1012"/>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2"/>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10).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62" name="Picture"/>
            <a:graphic>
              <a:graphicData uri="http://schemas.openxmlformats.org/drawingml/2006/picture">
                <pic:pic>
                  <pic:nvPicPr>
                    <pic:cNvPr descr="source/figures/regional_SCADA_frequencies.eps" id="163" name="Picture"/>
                    <pic:cNvPicPr>
                      <a:picLocks noChangeArrowheads="1" noChangeAspect="1"/>
                    </pic:cNvPicPr>
                  </pic:nvPicPr>
                  <pic:blipFill>
                    <a:blip r:embed="rId161"/>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64"/>
    <w:bookmarkStart w:id="176"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11).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6" name="Picture"/>
            <a:graphic>
              <a:graphicData uri="http://schemas.openxmlformats.org/drawingml/2006/picture">
                <pic:pic>
                  <pic:nvPicPr>
                    <pic:cNvPr descr="source/figures/energy_raise_fcas_vwap_quarterly_2014_2020_v2.png" id="167" name="Picture"/>
                    <pic:cNvPicPr>
                      <a:picLocks noChangeArrowheads="1" noChangeAspect="1"/>
                    </pic:cNvPicPr>
                  </pic:nvPicPr>
                  <pic:blipFill>
                    <a:blip r:embed="rId165"/>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12),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9" name="Picture"/>
            <a:graphic>
              <a:graphicData uri="http://schemas.openxmlformats.org/drawingml/2006/picture">
                <pic:pic>
                  <pic:nvPicPr>
                    <pic:cNvPr descr="source/figures/nem_nofb_frequency_2005_2018_digitised.eps" id="170" name="Picture"/>
                    <pic:cNvPicPr>
                      <a:picLocks noChangeArrowheads="1" noChangeAspect="1"/>
                    </pic:cNvPicPr>
                  </pic:nvPicPr>
                  <pic:blipFill>
                    <a:blip r:embed="rId168"/>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71"/>
      </w:r>
      <w:r>
        <w:t xml:space="preserve"> </w:t>
      </w:r>
      <w:r>
        <w:t xml:space="preserve">suggests that mandatory PFR has delivered better control of frequency within the NOFB (see Figure 13)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73" name="Picture"/>
            <a:graphic>
              <a:graphicData uri="http://schemas.openxmlformats.org/drawingml/2006/picture">
                <pic:pic>
                  <pic:nvPicPr>
                    <pic:cNvPr descr="source/figures/f_stddev_2009_2021.png" id="174" name="Picture"/>
                    <pic:cNvPicPr>
                      <a:picLocks noChangeArrowheads="1" noChangeAspect="1"/>
                    </pic:cNvPicPr>
                  </pic:nvPicPr>
                  <pic:blipFill>
                    <a:blip r:embed="rId172"/>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3"/>
        </w:numPr>
        <w:pStyle w:val="Compact"/>
      </w:pPr>
      <w:r>
        <w:t xml:space="preserve">Procure contingency FCAS volumes based on system inertia;</w:t>
      </w:r>
    </w:p>
    <w:p>
      <w:pPr>
        <w:numPr>
          <w:ilvl w:val="0"/>
          <w:numId w:val="1013"/>
        </w:numPr>
        <w:pStyle w:val="Compact"/>
      </w:pPr>
      <w:r>
        <w:t xml:space="preserve">Apply regional contingency and regulation FCAS requirements; and</w:t>
      </w:r>
    </w:p>
    <w:p>
      <w:pPr>
        <w:numPr>
          <w:ilvl w:val="0"/>
          <w:numId w:val="1013"/>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w:t>
        </w:r>
      </w:hyperlink>
      <w:r>
        <w:t xml:space="preserve">)</w:t>
      </w:r>
      <w:r>
        <w:t xml:space="preserve">, will likely improve AEMO’s operational toolbox for managing a low-inertia NEM.</w:t>
      </w:r>
    </w:p>
    <w:bookmarkStart w:id="175"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5"/>
    <w:bookmarkEnd w:id="176"/>
    <w:bookmarkStart w:id="177"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2020l</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7"/>
    <w:bookmarkStart w:id="178" w:name="conclusion-1"/>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4"/>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4"/>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4"/>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4"/>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8"/>
    <w:bookmarkEnd w:id="179"/>
    <w:bookmarkStart w:id="259" w:name="sec:reserves"/>
    <w:p>
      <w:pPr>
        <w:pStyle w:val="Heading1"/>
      </w:pPr>
      <w:r>
        <w:rPr>
          <w:rStyle w:val="SectionNumber"/>
        </w:rPr>
        <w:t xml:space="preserve">7</w:t>
      </w:r>
      <w:r>
        <w:tab/>
      </w:r>
      <w:r>
        <w:t xml:space="preserve">Quantifying reserve capabilities: an Australian case study with increasing penetrations of renewables</w:t>
      </w:r>
    </w:p>
    <w:bookmarkStart w:id="180"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80"/>
    <w:bookmarkStart w:id="181"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81"/>
    <w:bookmarkStart w:id="182" w:name="introduction-1"/>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5"/>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5"/>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6"/>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6"/>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6"/>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7"/>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7"/>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7"/>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18"/>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18"/>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82"/>
    <w:bookmarkStart w:id="195"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7" w:name="market-design"/>
    <w:p>
      <w:pPr>
        <w:pStyle w:val="Heading3"/>
      </w:pPr>
      <w:r>
        <w:rPr>
          <w:rStyle w:val="SectionNumber"/>
        </w:rPr>
        <w:t xml:space="preserve">7.4.1</w:t>
      </w:r>
      <w:r>
        <w:tab/>
      </w:r>
      <w:r>
        <w:t xml:space="preserve">Market design</w:t>
      </w:r>
    </w:p>
    <w:bookmarkStart w:id="184"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19"/>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19"/>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19"/>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83"/>
      </w:r>
      <w:r>
        <w:t xml:space="preserve"> </w:t>
      </w:r>
      <w:r>
        <w:t xml:space="preserve">(</w:t>
      </w:r>
      <w:hyperlink w:anchor="X3f3a611a4aac621679da42392957269bd79b28f">
        <w:r>
          <w:rPr>
            <w:rStyle w:val="Hyperlink"/>
          </w:rPr>
          <w:t xml:space="preserve">Australian Energy Market Operator, 2020m</w:t>
        </w:r>
      </w:hyperlink>
      <w:r>
        <w:t xml:space="preserve">)</w:t>
      </w:r>
      <w:r>
        <w:t xml:space="preserve">.</w:t>
      </w:r>
    </w:p>
    <w:bookmarkEnd w:id="184"/>
    <w:bookmarkStart w:id="185"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5"/>
    <w:bookmarkStart w:id="186"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0"/>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0"/>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0"/>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0"/>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6"/>
    <w:bookmarkEnd w:id="187"/>
    <w:bookmarkStart w:id="189"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1"/>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2020n</w:t>
        </w:r>
      </w:hyperlink>
      <w:r>
        <w:t xml:space="preserve">,</w:t>
      </w:r>
      <w:r>
        <w:t xml:space="preserve"> </w:t>
      </w:r>
      <w:hyperlink w:anchor="X3d4c8dbacd98ce489f3f9224cc3851ddc516c4d">
        <w:r>
          <w:rPr>
            <w:rStyle w:val="Hyperlink"/>
          </w:rPr>
          <w:t xml:space="preserve">2012</w:t>
        </w:r>
      </w:hyperlink>
      <w:r>
        <w:t xml:space="preserve">)</w:t>
      </w:r>
      <w:r>
        <w:t xml:space="preserve">.</w:t>
      </w:r>
    </w:p>
    <w:p>
      <w:pPr>
        <w:numPr>
          <w:ilvl w:val="0"/>
          <w:numId w:val="1021"/>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8"/>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9"/>
    <w:bookmarkStart w:id="194"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14).</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91" name="Picture"/>
            <a:graphic>
              <a:graphicData uri="http://schemas.openxmlformats.org/drawingml/2006/picture">
                <pic:pic>
                  <pic:nvPicPr>
                    <pic:cNvPr descr="source/figures/raise5minq42020.png" id="192" name="Picture"/>
                    <pic:cNvPicPr>
                      <a:picLocks noChangeArrowheads="1" noChangeAspect="1"/>
                    </pic:cNvPicPr>
                  </pic:nvPicPr>
                  <pic:blipFill>
                    <a:blip r:embed="rId190"/>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93"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w:t>
        </w:r>
      </w:hyperlink>
      <w:r>
        <w:t xml:space="preserve">)</w:t>
      </w:r>
      <w:r>
        <w:t xml:space="preserve">. Market bodies and participants have raised several potential benefits of an operating reserve product:</w:t>
      </w:r>
    </w:p>
    <w:p>
      <w:pPr>
        <w:numPr>
          <w:ilvl w:val="0"/>
          <w:numId w:val="1022"/>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2"/>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2"/>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93"/>
    <w:bookmarkEnd w:id="194"/>
    <w:bookmarkEnd w:id="195"/>
    <w:bookmarkStart w:id="216"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6"/>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5"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201" w:name="sec:reserves-nomenclature"/>
    <w:p>
      <w:pPr>
        <w:pStyle w:val="Heading4"/>
      </w:pPr>
      <w:r>
        <w:rPr>
          <w:rStyle w:val="SectionNumber"/>
        </w:rPr>
        <w:t xml:space="preserve">7.5.1.1</w:t>
      </w:r>
      <w:r>
        <w:tab/>
      </w:r>
      <w:r>
        <w:t xml:space="preserve">Nomenclature</w:t>
      </w:r>
    </w:p>
    <w:bookmarkStart w:id="197" w:name="indices-and-sets"/>
    <w:p>
      <w:pPr>
        <w:pStyle w:val="Heading5"/>
      </w:pPr>
      <w:r>
        <w:rPr>
          <w:rStyle w:val="SectionNumber"/>
        </w:rPr>
        <w:t xml:space="preserve">7.5.1.1.1</w:t>
      </w:r>
      <w:r>
        <w:tab/>
      </w:r>
      <w:r>
        <w:t xml:space="preserve">Indices and sets</w:t>
      </w:r>
    </w:p>
    <w:bookmarkEnd w:id="197"/>
    <w:bookmarkStart w:id="198" w:name="time-varying-resource-parameters"/>
    <w:p>
      <w:pPr>
        <w:pStyle w:val="Heading5"/>
      </w:pPr>
      <w:r>
        <w:rPr>
          <w:rStyle w:val="SectionNumber"/>
        </w:rPr>
        <w:t xml:space="preserve">7.5.1.1.2</w:t>
      </w:r>
      <w:r>
        <w:tab/>
      </w:r>
      <w:r>
        <w:t xml:space="preserve">Time-varying resource parameters</w:t>
      </w:r>
    </w:p>
    <w:bookmarkEnd w:id="198"/>
    <w:bookmarkStart w:id="199" w:name="static-resource-parameters"/>
    <w:p>
      <w:pPr>
        <w:pStyle w:val="Heading5"/>
      </w:pPr>
      <w:r>
        <w:rPr>
          <w:rStyle w:val="SectionNumber"/>
        </w:rPr>
        <w:t xml:space="preserve">7.5.1.1.3</w:t>
      </w:r>
      <w:r>
        <w:tab/>
      </w:r>
      <w:r>
        <w:t xml:space="preserve">Static resource parameters</w:t>
      </w:r>
    </w:p>
    <w:bookmarkEnd w:id="199"/>
    <w:bookmarkStart w:id="200" w:name="computed-quantities"/>
    <w:p>
      <w:pPr>
        <w:pStyle w:val="Heading5"/>
      </w:pPr>
      <w:r>
        <w:rPr>
          <w:rStyle w:val="SectionNumber"/>
        </w:rPr>
        <w:t xml:space="preserve">7.5.1.1.4</w:t>
      </w:r>
      <w:r>
        <w:tab/>
      </w:r>
      <w:r>
        <w:t xml:space="preserve">Computed quantities</w:t>
      </w:r>
    </w:p>
    <w:bookmarkEnd w:id="200"/>
    <w:bookmarkEnd w:id="201"/>
    <w:bookmarkStart w:id="205"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02"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202"/>
    </w:p>
    <w:p>
      <w:pPr>
        <w:pStyle w:val="FirstParagraph"/>
      </w:pPr>
      <w:r>
        <w:t xml:space="preserve">The three conditions in Equation 4 reflect the following:</w:t>
      </w:r>
    </w:p>
    <w:p>
      <w:pPr>
        <w:numPr>
          <w:ilvl w:val="0"/>
          <w:numId w:val="1023"/>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3"/>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3"/>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203"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203"/>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4"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4"/>
    </w:p>
    <w:bookmarkEnd w:id="205"/>
    <w:bookmarkStart w:id="208"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6"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6"/>
    </w:p>
    <w:p>
      <w:pPr>
        <w:pStyle w:val="FirstParagraph"/>
      </w:pPr>
      <w:bookmarkStart w:id="207"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7"/>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8"/>
    <w:bookmarkStart w:id="211"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9"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9"/>
    </w:p>
    <w:p>
      <w:pPr>
        <w:pStyle w:val="FirstParagraph"/>
      </w:pPr>
      <w:bookmarkStart w:id="210"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10"/>
    </w:p>
    <w:bookmarkEnd w:id="211"/>
    <w:bookmarkStart w:id="214"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12"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12"/>
    </w:p>
    <w:p>
      <w:pPr>
        <w:pStyle w:val="FirstParagraph"/>
      </w:pPr>
      <w:bookmarkStart w:id="213"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13"/>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4"/>
    <w:bookmarkEnd w:id="215"/>
    <w:bookmarkEnd w:id="216"/>
    <w:bookmarkStart w:id="257" w:name="sec:reserves-casestudy"/>
    <w:p>
      <w:pPr>
        <w:pStyle w:val="Heading2"/>
      </w:pPr>
      <w:r>
        <w:rPr>
          <w:rStyle w:val="SectionNumber"/>
        </w:rPr>
        <w:t xml:space="preserve">7.6</w:t>
      </w:r>
      <w:r>
        <w:tab/>
      </w:r>
      <w:r>
        <w:t xml:space="preserve">Case Study: Two Regions in the National Electricity Market</w:t>
      </w:r>
    </w:p>
    <w:bookmarkStart w:id="227"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217"/>
      </w:r>
      <w:r>
        <w:t xml:space="preserve">.</w:t>
      </w:r>
    </w:p>
    <w:bookmarkStart w:id="218"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4"/>
              </w:numPr>
              <w:pStyle w:val="Compact"/>
              <w:jc w:val="center"/>
            </w:pPr>
            <w:r>
              <w:t xml:space="preserve">Modelled using historical demand and existing resources</w:t>
            </w:r>
          </w:p>
          <w:p>
            <w:pPr>
              <w:numPr>
                <w:ilvl w:val="1"/>
                <w:numId w:val="1025"/>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6"/>
              </w:numPr>
              <w:pStyle w:val="Compact"/>
              <w:jc w:val="center"/>
            </w:pPr>
            <w:r>
              <w:t xml:space="preserve">Based on existing policy settings at the time of 2020 ISP:</w:t>
            </w:r>
          </w:p>
          <w:p>
            <w:pPr>
              <w:numPr>
                <w:ilvl w:val="1"/>
                <w:numId w:val="1027"/>
              </w:numPr>
              <w:pStyle w:val="Compact"/>
              <w:jc w:val="center"/>
            </w:pPr>
            <w:r>
              <w:t xml:space="preserve">Moderate deployment of VRE and BESS</w:t>
            </w:r>
          </w:p>
          <w:p>
            <w:pPr>
              <w:numPr>
                <w:ilvl w:val="1"/>
                <w:numId w:val="1027"/>
              </w:numPr>
              <w:pStyle w:val="Compact"/>
              <w:jc w:val="center"/>
            </w:pPr>
            <w:r>
              <w:t xml:space="preserve">Distributed solar PV has moderate impact on operational demand</w:t>
            </w:r>
          </w:p>
          <w:p>
            <w:pPr>
              <w:numPr>
                <w:ilvl w:val="1"/>
                <w:numId w:val="1027"/>
              </w:numPr>
              <w:pStyle w:val="Compact"/>
              <w:jc w:val="center"/>
            </w:pPr>
            <w:r>
              <w:t xml:space="preserve">Thermal unit retirements in both states</w:t>
            </w:r>
          </w:p>
          <w:p>
            <w:pPr>
              <w:numPr>
                <w:ilvl w:val="1"/>
                <w:numId w:val="1027"/>
              </w:numPr>
              <w:pStyle w:val="Compact"/>
              <w:jc w:val="center"/>
            </w:pPr>
            <w:r>
              <w:t xml:space="preserve">Large hydropower capacity addition in NSW</w:t>
            </w:r>
          </w:p>
          <w:p>
            <w:pPr>
              <w:numPr>
                <w:ilvl w:val="1"/>
                <w:numId w:val="1027"/>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28"/>
              </w:numPr>
              <w:pStyle w:val="Compact"/>
              <w:jc w:val="center"/>
            </w:pPr>
            <w:r>
              <w:t xml:space="preserve">More aggressive transition:</w:t>
            </w:r>
          </w:p>
          <w:p>
            <w:pPr>
              <w:numPr>
                <w:ilvl w:val="1"/>
                <w:numId w:val="1029"/>
              </w:numPr>
              <w:pStyle w:val="Compact"/>
              <w:jc w:val="center"/>
            </w:pPr>
            <w:r>
              <w:t xml:space="preserve">Large deployments of VRE and BESS</w:t>
            </w:r>
          </w:p>
          <w:p>
            <w:pPr>
              <w:numPr>
                <w:ilvl w:val="1"/>
                <w:numId w:val="1029"/>
              </w:numPr>
              <w:pStyle w:val="Compact"/>
              <w:jc w:val="center"/>
            </w:pPr>
            <w:r>
              <w:t xml:space="preserve">Distributed solar PV has greater impact on operational demand</w:t>
            </w:r>
          </w:p>
          <w:p>
            <w:pPr>
              <w:numPr>
                <w:ilvl w:val="1"/>
                <w:numId w:val="1029"/>
              </w:numPr>
              <w:pStyle w:val="Compact"/>
              <w:jc w:val="center"/>
            </w:pPr>
            <w:r>
              <w:t xml:space="preserve">Further thermal unit retirements in NSW</w:t>
            </w:r>
          </w:p>
          <w:p>
            <w:pPr>
              <w:numPr>
                <w:ilvl w:val="1"/>
                <w:numId w:val="1029"/>
              </w:numPr>
              <w:pStyle w:val="Compact"/>
              <w:jc w:val="center"/>
            </w:pPr>
            <w:r>
              <w:t xml:space="preserve">Large hydropower capacity addition in NSW</w:t>
            </w:r>
          </w:p>
          <w:p>
            <w:pPr>
              <w:numPr>
                <w:ilvl w:val="1"/>
                <w:numId w:val="1029"/>
              </w:numPr>
              <w:pStyle w:val="Compact"/>
              <w:jc w:val="center"/>
            </w:pPr>
            <w:r>
              <w:t xml:space="preserve">Fewer synchronous units must run for system strength in SA</w:t>
            </w:r>
          </w:p>
        </w:tc>
      </w:tr>
    </w:tbl>
    <w:bookmarkEnd w:id="218"/>
    <w:p>
      <w:pPr>
        <w:pStyle w:val="FirstParagraph"/>
      </w:pPr>
      <w:r>
        <w:t xml:space="preserve">Modelling SA and NSW across these three scenarios enables four sensitivities to be explored:</w:t>
      </w:r>
    </w:p>
    <w:p>
      <w:pPr>
        <w:numPr>
          <w:ilvl w:val="0"/>
          <w:numId w:val="1030"/>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0"/>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15.</w:t>
      </w:r>
    </w:p>
    <w:p>
      <w:pPr>
        <w:numPr>
          <w:ilvl w:val="0"/>
          <w:numId w:val="1030"/>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0"/>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22" w:name="fig:nsw_capacities"/>
            <w:r>
              <w:drawing>
                <wp:inline>
                  <wp:extent cx="2667000" cy="1352397"/>
                  <wp:effectExtent b="0" l="0" r="0" t="0"/>
                  <wp:docPr descr="a" title="" id="220" name="Picture"/>
                  <a:graphic>
                    <a:graphicData uri="http://schemas.openxmlformats.org/drawingml/2006/picture">
                      <pic:pic>
                        <pic:nvPicPr>
                          <pic:cNvPr descr="source/figures/nsw_capacities.png" id="221" name="Picture"/>
                          <pic:cNvPicPr>
                            <a:picLocks noChangeArrowheads="1" noChangeAspect="1"/>
                          </pic:cNvPicPr>
                        </pic:nvPicPr>
                        <pic:blipFill>
                          <a:blip r:embed="rId219"/>
                          <a:stretch>
                            <a:fillRect/>
                          </a:stretch>
                        </pic:blipFill>
                        <pic:spPr bwMode="auto">
                          <a:xfrm>
                            <a:off x="0" y="0"/>
                            <a:ext cx="2667000" cy="1352397"/>
                          </a:xfrm>
                          <a:prstGeom prst="rect">
                            <a:avLst/>
                          </a:prstGeom>
                          <a:noFill/>
                          <a:ln w="9525">
                            <a:noFill/>
                            <a:headEnd/>
                            <a:tailEnd/>
                          </a:ln>
                        </pic:spPr>
                      </pic:pic>
                    </a:graphicData>
                  </a:graphic>
                </wp:inline>
              </w:drawing>
            </w:r>
            <w:bookmarkEnd w:id="222"/>
          </w:p>
        </w:tc>
        <w:tc>
          <w:tcPr/>
          <w:p>
            <w:pPr>
              <w:jc w:val="center"/>
            </w:pPr>
            <w:bookmarkStart w:id="226" w:name="fig:sa_capacities"/>
            <w:r>
              <w:drawing>
                <wp:inline>
                  <wp:extent cx="2667000" cy="1352397"/>
                  <wp:effectExtent b="0" l="0" r="0" t="0"/>
                  <wp:docPr descr="b" title="" id="224" name="Picture"/>
                  <a:graphic>
                    <a:graphicData uri="http://schemas.openxmlformats.org/drawingml/2006/picture">
                      <pic:pic>
                        <pic:nvPicPr>
                          <pic:cNvPr descr="source/figures/sa_capacities.png" id="225" name="Picture"/>
                          <pic:cNvPicPr>
                            <a:picLocks noChangeArrowheads="1" noChangeAspect="1"/>
                          </pic:cNvPicPr>
                        </pic:nvPicPr>
                        <pic:blipFill>
                          <a:blip r:embed="rId223"/>
                          <a:stretch>
                            <a:fillRect/>
                          </a:stretch>
                        </pic:blipFill>
                        <pic:spPr bwMode="auto">
                          <a:xfrm>
                            <a:off x="0" y="0"/>
                            <a:ext cx="2667000" cy="1352397"/>
                          </a:xfrm>
                          <a:prstGeom prst="rect">
                            <a:avLst/>
                          </a:prstGeom>
                          <a:noFill/>
                          <a:ln w="9525">
                            <a:noFill/>
                            <a:headEnd/>
                            <a:tailEnd/>
                          </a:ln>
                        </pic:spPr>
                      </pic:pic>
                    </a:graphicData>
                  </a:graphic>
                </wp:inline>
              </w:drawing>
            </w:r>
            <w:bookmarkEnd w:id="226"/>
          </w:p>
        </w:tc>
      </w:tr>
    </w:tbl>
    <w:p>
      <w:pPr>
        <w:pStyle w:val="ImageCaption"/>
      </w:pPr>
      <w:r>
        <w:t xml:space="preserve">Figure 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7"/>
    <w:bookmarkStart w:id="232"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8"/>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16.</w:t>
      </w:r>
    </w:p>
    <w:p>
      <w:pPr>
        <w:pStyle w:val="BodyText"/>
      </w:pPr>
      <w:r>
        <w:t xml:space="preserve">In Appendix A, we outline our sources for key input data and assumptions (top row of Figure 16)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30" name="Picture"/>
            <a:graphic>
              <a:graphicData uri="http://schemas.openxmlformats.org/drawingml/2006/picture">
                <pic:pic>
                  <pic:nvPicPr>
                    <pic:cNvPr descr="source/figures/modelling_diagram.png" id="231" name="Picture"/>
                    <pic:cNvPicPr>
                      <a:picLocks noChangeArrowheads="1" noChangeAspect="1"/>
                    </pic:cNvPicPr>
                  </pic:nvPicPr>
                  <pic:blipFill>
                    <a:blip r:embed="rId229"/>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16: Process flow for modelling available reserves and footroom for each scenario in this case study.</w:t>
      </w:r>
    </w:p>
    <w:bookmarkEnd w:id="232"/>
    <w:bookmarkStart w:id="235"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33"/>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4"/>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1"/>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1"/>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1"/>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5"/>
    <w:bookmarkStart w:id="254" w:name="sec:reserves-results"/>
    <w:p>
      <w:pPr>
        <w:pStyle w:val="Heading3"/>
      </w:pPr>
      <w:r>
        <w:rPr>
          <w:rStyle w:val="SectionNumber"/>
        </w:rPr>
        <w:t xml:space="preserve">7.6.4</w:t>
      </w:r>
      <w:r>
        <w:tab/>
      </w:r>
      <w:r>
        <w:t xml:space="preserve">Results and discussion</w:t>
      </w:r>
    </w:p>
    <w:bookmarkStart w:id="237"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2"/>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2"/>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6"/>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7"/>
    <w:bookmarkStart w:id="244"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17, 18). The mean SDPs across scenarios suggest that, on average, NSW has more than 2 GW and SA more than 600 MW of reserves available within 5+ minutes. These levels of reserves:</w:t>
      </w:r>
    </w:p>
    <w:p>
      <w:pPr>
        <w:numPr>
          <w:ilvl w:val="0"/>
          <w:numId w:val="1033"/>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3"/>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9" name="Picture"/>
            <a:graphic>
              <a:graphicData uri="http://schemas.openxmlformats.org/drawingml/2006/picture">
                <pic:pic>
                  <pic:nvPicPr>
                    <pic:cNvPr descr="./source/figures/NSW_reserves_all_profiles_by_di.png" id="240" name="Picture"/>
                    <pic:cNvPicPr>
                      <a:picLocks noChangeArrowheads="1" noChangeAspect="1"/>
                    </pic:cNvPicPr>
                  </pic:nvPicPr>
                  <pic:blipFill>
                    <a:blip r:embed="rId238"/>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17: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42" name="Picture"/>
            <a:graphic>
              <a:graphicData uri="http://schemas.openxmlformats.org/drawingml/2006/picture">
                <pic:pic>
                  <pic:nvPicPr>
                    <pic:cNvPr descr="./source/figures/SA_reserves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4"/>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4"/>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14).</w:t>
      </w:r>
    </w:p>
    <w:bookmarkEnd w:id="244"/>
    <w:bookmarkStart w:id="251"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19, 20 show mean and bottom 1% SDPs across NSW scenarios for firm footroom and total footroom, respectively. From the bottom 1% SDPs in Figure 19, it is clear that firm system footroom can become very low in NSW in 2025 as remaining baseload conventional generators are driven to operate closer to their MSLs. However, such concerns could be alleviated if VRE provide footroom (Figure 20).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6" name="Picture"/>
            <a:graphic>
              <a:graphicData uri="http://schemas.openxmlformats.org/drawingml/2006/picture">
                <pic:pic>
                  <pic:nvPicPr>
                    <pic:cNvPr descr="./source/figures/NSW_firmfootroom_all_profiles_by_di.png" id="247" name="Picture"/>
                    <pic:cNvPicPr>
                      <a:picLocks noChangeArrowheads="1" noChangeAspect="1"/>
                    </pic:cNvPicPr>
                  </pic:nvPicPr>
                  <pic:blipFill>
                    <a:blip r:embed="rId245"/>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9" name="Picture"/>
            <a:graphic>
              <a:graphicData uri="http://schemas.openxmlformats.org/drawingml/2006/picture">
                <pic:pic>
                  <pic:nvPicPr>
                    <pic:cNvPr descr="./source/figures/NSW_footroom_all_profiles_by_di.png" id="250" name="Picture"/>
                    <pic:cNvPicPr>
                      <a:picLocks noChangeArrowheads="1" noChangeAspect="1"/>
                    </pic:cNvPicPr>
                  </pic:nvPicPr>
                  <pic:blipFill>
                    <a:blip r:embed="rId24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51"/>
    <w:bookmarkStart w:id="253"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2020o</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52"/>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53"/>
    <w:bookmarkEnd w:id="254"/>
    <w:bookmarkStart w:id="256"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5"/>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5"/>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5"/>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6"/>
    <w:bookmarkEnd w:id="257"/>
    <w:bookmarkStart w:id="258"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8"/>
    <w:bookmarkEnd w:id="259"/>
    <w:bookmarkStart w:id="265" w:name="sec:fourth"/>
    <w:p>
      <w:pPr>
        <w:pStyle w:val="Heading1"/>
      </w:pPr>
      <w:r>
        <w:rPr>
          <w:rStyle w:val="SectionNumber"/>
        </w:rPr>
        <w:t xml:space="preserve">8</w:t>
      </w:r>
      <w:r>
        <w:tab/>
      </w:r>
      <w:r>
        <w:t xml:space="preserve">Final research study</w:t>
      </w:r>
    </w:p>
    <w:bookmarkStart w:id="260" w:name="introduction-2"/>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260"/>
    <w:bookmarkStart w:id="261" w:name="method"/>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End w:id="261"/>
    <w:bookmarkStart w:id="262" w:name="results"/>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262"/>
    <w:bookmarkStart w:id="263" w:name="discussion"/>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263"/>
    <w:bookmarkStart w:id="264" w:name="conclusion-2"/>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264"/>
    <w:bookmarkEnd w:id="265"/>
    <w:bookmarkStart w:id="268" w:name="sec:conclusion"/>
    <w:p>
      <w:pPr>
        <w:pStyle w:val="Heading1"/>
      </w:pPr>
      <w:r>
        <w:rPr>
          <w:rStyle w:val="SectionNumber"/>
        </w:rPr>
        <w:t xml:space="preserve">9</w:t>
      </w:r>
      <w:r>
        <w:tab/>
      </w:r>
      <w:r>
        <w:t xml:space="preserve">Conclusion</w:t>
      </w:r>
    </w:p>
    <w:bookmarkStart w:id="266"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266"/>
    <w:bookmarkStart w:id="267"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w:t>
      </w:r>
    </w:p>
    <w:bookmarkEnd w:id="267"/>
    <w:bookmarkEnd w:id="268"/>
    <w:bookmarkStart w:id="285" w:name="X79d4964e2d76d0384256ac8f0c0adc20d1650ff"/>
    <w:p>
      <w:pPr>
        <w:pStyle w:val="Heading1"/>
      </w:pPr>
      <w:r>
        <w:rPr>
          <w:rStyle w:val="SectionNumber"/>
        </w:rPr>
        <w:t xml:space="preserve">10</w:t>
      </w:r>
      <w:r>
        <w:tab/>
      </w:r>
      <w:r>
        <w:t xml:space="preserve">Data and assumptions used in market simulation</w:t>
      </w:r>
    </w:p>
    <w:bookmarkStart w:id="273"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269"/>
      </w:r>
      <w:r>
        <w:t xml:space="preserve"> </w:t>
      </w:r>
      <w:r>
        <w:t xml:space="preserve">in 2020, and the upper ramp rate was calculated using resources’ assumed maximum ramp rates in AEMO’s 2020 Inputs and Assumptions workbook (for an example of a comparison, see Figure 21)</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271" name="Picture"/>
            <a:graphic>
              <a:graphicData uri="http://schemas.openxmlformats.org/drawingml/2006/picture">
                <pic:pic>
                  <pic:nvPicPr>
                    <pic:cNvPr descr="source/figures/coal_market_upper_ramps.png" id="272" name="Picture"/>
                    <pic:cNvPicPr>
                      <a:picLocks noChangeArrowheads="1" noChangeAspect="1"/>
                    </pic:cNvPicPr>
                  </pic:nvPicPr>
                  <pic:blipFill>
                    <a:blip r:embed="rId270"/>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21: Ramp rates observed (red) and used in dispatch by AEMO (blue) for a coal-fired unit in NSW in 2020. The green line denotes the ramp rate assumed by AEMO in its 2020 Inputs and Assumptions workbook and the 2020 ISP.</w:t>
      </w:r>
    </w:p>
    <w:bookmarkEnd w:id="273"/>
    <w:bookmarkStart w:id="274"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2021q</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274"/>
    <w:bookmarkStart w:id="275"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w:t>
      </w:r>
    </w:p>
    <w:bookmarkEnd w:id="275"/>
    <w:bookmarkStart w:id="276"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w:t>
      </w:r>
    </w:p>
    <w:bookmarkEnd w:id="276"/>
    <w:bookmarkStart w:id="277"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277"/>
    <w:bookmarkStart w:id="278"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2020p</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278"/>
    <w:bookmarkStart w:id="284"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279"/>
      </w:r>
      <w:r>
        <w:t xml:space="preserve">:</w:t>
      </w:r>
    </w:p>
    <w:p>
      <w:pPr>
        <w:numPr>
          <w:ilvl w:val="0"/>
          <w:numId w:val="1036"/>
        </w:numPr>
        <w:pStyle w:val="Compact"/>
      </w:pPr>
      <w:r>
        <w:t xml:space="preserve">For wind and solar PV generators, the entire available forecasted energy was offered at the market floor price to ensure preferential dispatch of VRE where possible.</w:t>
      </w:r>
    </w:p>
    <w:p>
      <w:pPr>
        <w:numPr>
          <w:ilvl w:val="0"/>
          <w:numId w:val="1036"/>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The third band was priced at a premium relative to the resource’s SRMC and the fourth band was offered at the market cap price.</w:t>
      </w:r>
    </w:p>
    <w:p>
      <w:pPr>
        <w:numPr>
          <w:ilvl w:val="0"/>
          <w:numId w:val="1036"/>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36"/>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280" w:name="tbl:resourceoffers"/>
      <w:bookmarkEnd w:id="280"/>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283"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281" w:name="tbl:nswcalibration"/>
      <w:bookmarkEnd w:id="281"/>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282" w:name="tbl:sacalibration"/>
      <w:bookmarkEnd w:id="282"/>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283"/>
    <w:bookmarkEnd w:id="284"/>
    <w:bookmarkEnd w:id="285"/>
    <w:bookmarkStart w:id="286" w:name="some-more-extra-stuff"/>
    <w:p>
      <w:pPr>
        <w:pStyle w:val="Heading1"/>
      </w:pPr>
      <w:r>
        <w:rPr>
          <w:rStyle w:val="SectionNumber"/>
        </w:rPr>
        <w:t xml:space="preserve">11</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286"/>
    <w:bookmarkStart w:id="287" w:name="some-more-extra-stuff-1"/>
    <w:p>
      <w:pPr>
        <w:pStyle w:val="Heading1"/>
      </w:pPr>
      <w:r>
        <w:rPr>
          <w:rStyle w:val="SectionNumber"/>
        </w:rPr>
        <w:t xml:space="preserve">12</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287"/>
    <w:bookmarkStart w:id="749" w:name="references"/>
    <w:p>
      <w:pPr>
        <w:pStyle w:val="Heading1"/>
      </w:pPr>
      <w:r>
        <w:t xml:space="preserve">References</w:t>
      </w:r>
    </w:p>
    <w:bookmarkStart w:id="748" w:name="refs"/>
    <w:bookmarkStart w:id="288"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288"/>
    <w:bookmarkStart w:id="290" w:name="X5a70db932ff4717cfbc30f6fe285191ec112a17"/>
    <w:p>
      <w:pPr>
        <w:pStyle w:val="Bibliography"/>
      </w:pPr>
      <w:r>
        <w:t xml:space="preserve">Abbasy, A., 2012.</w:t>
      </w:r>
      <w:r>
        <w:t xml:space="preserve"> </w:t>
      </w:r>
      <w:hyperlink r:id="rId289">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290"/>
    <w:bookmarkStart w:id="292"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291">
        <w:r>
          <w:rPr>
            <w:rStyle w:val="Hyperlink"/>
          </w:rPr>
          <w:t xml:space="preserve">https://doi.org/10.1016/j.esr.2022.100812</w:t>
        </w:r>
      </w:hyperlink>
    </w:p>
    <w:bookmarkEnd w:id="292"/>
    <w:bookmarkStart w:id="294"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293">
        <w:r>
          <w:rPr>
            <w:rStyle w:val="Hyperlink"/>
          </w:rPr>
          <w:t xml:space="preserve">https://doi.org/10.2139/ssrn.3302569</w:t>
        </w:r>
      </w:hyperlink>
    </w:p>
    <w:bookmarkEnd w:id="294"/>
    <w:bookmarkStart w:id="296" w:name="ref-akramEnergyStorageShortTerm2020"/>
    <w:p>
      <w:pPr>
        <w:pStyle w:val="Bibliography"/>
      </w:pPr>
      <w:r>
        <w:t xml:space="preserve">Akram, U., Mithulananthan, N., Shah, R., Basit, S.A., 2020.</w:t>
      </w:r>
      <w:r>
        <w:t xml:space="preserve"> </w:t>
      </w:r>
      <w:hyperlink r:id="rId295">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296"/>
    <w:bookmarkStart w:id="298" w:name="X77edcbed99f6f778ba79668b9dd9185179dad4a"/>
    <w:p>
      <w:pPr>
        <w:pStyle w:val="Bibliography"/>
      </w:pPr>
      <w:r>
        <w:t xml:space="preserve">ASX Energy, 2021.</w:t>
      </w:r>
      <w:r>
        <w:t xml:space="preserve"> </w:t>
      </w:r>
      <w:hyperlink r:id="rId297">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298"/>
    <w:bookmarkStart w:id="300" w:name="ref-aureconLargeScaleBatteryStorage2019"/>
    <w:p>
      <w:pPr>
        <w:pStyle w:val="Bibliography"/>
      </w:pPr>
      <w:r>
        <w:t xml:space="preserve">Aurecon, 2019.</w:t>
      </w:r>
      <w:r>
        <w:t xml:space="preserve"> </w:t>
      </w:r>
      <w:hyperlink r:id="rId299">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00"/>
    <w:bookmarkStart w:id="302" w:name="Xd02ea3f7bd4fee6de3a6c1d76c7696f271a845d"/>
    <w:p>
      <w:pPr>
        <w:pStyle w:val="Bibliography"/>
      </w:pPr>
      <w:r>
        <w:t xml:space="preserve">Aurecon Australasia, 2020.</w:t>
      </w:r>
      <w:r>
        <w:t xml:space="preserve"> </w:t>
      </w:r>
      <w:hyperlink r:id="rId301">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02"/>
    <w:bookmarkStart w:id="304" w:name="X283bd1f9c04cb560ec04fb7242924b44581eae3"/>
    <w:p>
      <w:pPr>
        <w:pStyle w:val="Bibliography"/>
      </w:pPr>
      <w:r>
        <w:t xml:space="preserve">Australian Energy Market Commission, n.d.b. Electricity supply chain [WWW Document]. URL</w:t>
      </w:r>
      <w:r>
        <w:t xml:space="preserve"> </w:t>
      </w:r>
      <w:hyperlink r:id="rId303">
        <w:r>
          <w:rPr>
            <w:rStyle w:val="Hyperlink"/>
          </w:rPr>
          <w:t xml:space="preserve">http://www.aemc.gov.au/energy-system/electricity/electricity-system/electricity-supply-chain</w:t>
        </w:r>
      </w:hyperlink>
      <w:r>
        <w:t xml:space="preserve"> </w:t>
      </w:r>
      <w:r>
        <w:t xml:space="preserve">(accessed 5.20.2022).</w:t>
      </w:r>
    </w:p>
    <w:bookmarkEnd w:id="304"/>
    <w:bookmarkStart w:id="306"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05">
        <w:r>
          <w:rPr>
            <w:rStyle w:val="Hyperlink"/>
          </w:rPr>
          <w:t xml:space="preserve">https://www.aemc.gov.au/energy-system/electricity/electricity-system/NEM</w:t>
        </w:r>
      </w:hyperlink>
      <w:r>
        <w:t xml:space="preserve"> </w:t>
      </w:r>
      <w:r>
        <w:t xml:space="preserve">(accessed 3.23.2021).</w:t>
      </w:r>
    </w:p>
    <w:bookmarkEnd w:id="306"/>
    <w:bookmarkStart w:id="308" w:name="X8acf9a26c7b13f75647e96408c7da2f2a289169"/>
    <w:p>
      <w:pPr>
        <w:pStyle w:val="Bibliography"/>
      </w:pPr>
      <w:r>
        <w:t xml:space="preserve">Australian Energy Market Commission, 2022.</w:t>
      </w:r>
      <w:r>
        <w:t xml:space="preserve"> </w:t>
      </w:r>
      <w:hyperlink r:id="rId30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08"/>
    <w:bookmarkStart w:id="30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09"/>
    <w:bookmarkStart w:id="310"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10"/>
    <w:bookmarkStart w:id="312" w:name="X4e15fbfc9c73a2296d46b736a9c7d1a5654655e"/>
    <w:p>
      <w:pPr>
        <w:pStyle w:val="Bibliography"/>
      </w:pPr>
      <w:r>
        <w:t xml:space="preserve">Australian Energy Market Commission, 2021c.</w:t>
      </w:r>
      <w:r>
        <w:t xml:space="preserve"> </w:t>
      </w:r>
      <w:hyperlink r:id="rId311">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312"/>
    <w:bookmarkStart w:id="314"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313">
        <w:r>
          <w:rPr>
            <w:rStyle w:val="Hyperlink"/>
          </w:rPr>
          <w:t xml:space="preserve">https://www.aemc.gov.au/news-centre/data-portal/annual-market-performance-review/2020</w:t>
        </w:r>
      </w:hyperlink>
      <w:r>
        <w:t xml:space="preserve"> </w:t>
      </w:r>
      <w:r>
        <w:t xml:space="preserve">(accessed 10.27.2021).</w:t>
      </w:r>
    </w:p>
    <w:bookmarkEnd w:id="314"/>
    <w:bookmarkStart w:id="315" w:name="X55ac5d59022fb8fc127e5e4f8e1b2f3c3feff8c"/>
    <w:p>
      <w:pPr>
        <w:pStyle w:val="Bibliography"/>
      </w:pPr>
      <w:r>
        <w:t xml:space="preserve">Australian Energy Market Commission, 2020c. Frequency control rule changes.</w:t>
      </w:r>
    </w:p>
    <w:bookmarkEnd w:id="315"/>
    <w:bookmarkStart w:id="316"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316"/>
    <w:bookmarkStart w:id="318" w:name="Xd4142d84741b5aa209fba18468ec215bc2183cf"/>
    <w:p>
      <w:pPr>
        <w:pStyle w:val="Bibliography"/>
      </w:pPr>
      <w:r>
        <w:t xml:space="preserve">Australian Energy Market Commission, 2020d.</w:t>
      </w:r>
      <w:r>
        <w:t xml:space="preserve"> </w:t>
      </w:r>
      <w:hyperlink r:id="rId317">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18"/>
    <w:bookmarkStart w:id="319"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319"/>
    <w:bookmarkStart w:id="320"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320"/>
    <w:bookmarkStart w:id="322" w:name="Xb3436a2eee6cc81ec2eed9434eec7793f348374"/>
    <w:p>
      <w:pPr>
        <w:pStyle w:val="Bibliography"/>
      </w:pPr>
      <w:r>
        <w:t xml:space="preserve">Australian Energy Market Commission, 2017.</w:t>
      </w:r>
      <w:r>
        <w:t xml:space="preserve"> </w:t>
      </w:r>
      <w:hyperlink r:id="rId321">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322"/>
    <w:bookmarkStart w:id="324" w:name="X122c867e6dde1f00e4486b24c752821f4d73d2a"/>
    <w:p>
      <w:pPr>
        <w:pStyle w:val="Bibliography"/>
      </w:pPr>
      <w:r>
        <w:t xml:space="preserve">Australian Energy Market Commission, 2016.</w:t>
      </w:r>
      <w:r>
        <w:t xml:space="preserve"> </w:t>
      </w:r>
      <w:hyperlink r:id="rId323">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324"/>
    <w:bookmarkStart w:id="326" w:name="Xe8c300eeae062e2ed8ee4727d274c4396c5dbff"/>
    <w:p>
      <w:pPr>
        <w:pStyle w:val="Bibliography"/>
      </w:pPr>
      <w:r>
        <w:t xml:space="preserve">Australian Energy Market Commission, 2015.</w:t>
      </w:r>
      <w:r>
        <w:t xml:space="preserve"> </w:t>
      </w:r>
      <w:hyperlink r:id="rId325">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326"/>
    <w:bookmarkStart w:id="328" w:name="X69b6505f7439c279a132e5425c5d610e080361d"/>
    <w:p>
      <w:pPr>
        <w:pStyle w:val="Bibliography"/>
      </w:pPr>
      <w:r>
        <w:t xml:space="preserve">Australian Energy Market Commission Reliability Panel, 2022.</w:t>
      </w:r>
      <w:r>
        <w:t xml:space="preserve"> </w:t>
      </w:r>
      <w:hyperlink r:id="rId327">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328"/>
    <w:bookmarkStart w:id="330" w:name="Xfeb2de1ac1725393bea77ea1338cf7492788c4f"/>
    <w:p>
      <w:pPr>
        <w:pStyle w:val="Bibliography"/>
      </w:pPr>
      <w:r>
        <w:t xml:space="preserve">Australian Energy Market Commission Reliability Panel, 2020.</w:t>
      </w:r>
      <w:r>
        <w:t xml:space="preserve"> </w:t>
      </w:r>
      <w:hyperlink r:id="rId329">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330"/>
    <w:bookmarkStart w:id="331"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331"/>
    <w:bookmarkStart w:id="333" w:name="Xc217b8abd9a98bd90a8ef2d1cb9dc2560b3200f"/>
    <w:p>
      <w:pPr>
        <w:pStyle w:val="Bibliography"/>
      </w:pPr>
      <w:r>
        <w:t xml:space="preserve">Australian Energy Market Operator, n.d. Pre dispatch [WWW Document]. URL</w:t>
      </w:r>
      <w:r>
        <w:t xml:space="preserve"> </w:t>
      </w:r>
      <w:hyperlink r:id="rId332">
        <w:r>
          <w:rPr>
            <w:rStyle w:val="Hyperlink"/>
          </w:rPr>
          <w:t xml:space="preserve">https://aemo.com.au/energy-systems/electricity/national-electricity-market-nem/data-nem/market-management-system-mms-data/pre-dispatch</w:t>
        </w:r>
      </w:hyperlink>
      <w:r>
        <w:t xml:space="preserve"> </w:t>
      </w:r>
      <w:r>
        <w:t xml:space="preserve">(accessed 5.24.2022).</w:t>
      </w:r>
    </w:p>
    <w:bookmarkEnd w:id="333"/>
    <w:bookmarkStart w:id="335" w:name="Xd5517a5b21f55ef4d6be4f7cb132ac0de4944a7"/>
    <w:p>
      <w:pPr>
        <w:pStyle w:val="Bibliography"/>
      </w:pPr>
      <w:r>
        <w:t xml:space="preserve">Australian Energy Market Operator, 2023. Industry overview [WWW Document]. URL</w:t>
      </w:r>
      <w:r>
        <w:t xml:space="preserve"> </w:t>
      </w:r>
      <w:hyperlink r:id="rId334">
        <w:r>
          <w:rPr>
            <w:rStyle w:val="Hyperlink"/>
          </w:rPr>
          <w:t xml:space="preserve">https://aemo.com.au/learn/energy-explained/energy-101/industry-overview</w:t>
        </w:r>
      </w:hyperlink>
      <w:r>
        <w:t xml:space="preserve"> </w:t>
      </w:r>
      <w:r>
        <w:t xml:space="preserve">(accessed 10.25.2023).</w:t>
      </w:r>
    </w:p>
    <w:bookmarkEnd w:id="335"/>
    <w:bookmarkStart w:id="337" w:name="X9f14554c9fbab180f0895f001a9e72329973dfa"/>
    <w:p>
      <w:pPr>
        <w:pStyle w:val="Bibliography"/>
      </w:pPr>
      <w:r>
        <w:t xml:space="preserve">Australian Energy Market Operator, 2022c.</w:t>
      </w:r>
      <w:r>
        <w:t xml:space="preserve"> </w:t>
      </w:r>
      <w:hyperlink r:id="rId336">
        <w:r>
          <w:rPr>
            <w:rStyle w:val="Hyperlink"/>
          </w:rPr>
          <w:t xml:space="preserve">2022</w:t>
        </w:r>
        <w:r>
          <w:rPr>
            <w:rStyle w:val="Hyperlink"/>
          </w:rPr>
          <w:t xml:space="preserve"> </w:t>
        </w:r>
        <w:r>
          <w:rPr>
            <w:rStyle w:val="Hyperlink"/>
          </w:rPr>
          <w:t xml:space="preserve">Integrated System Plan</w:t>
        </w:r>
      </w:hyperlink>
      <w:r>
        <w:t xml:space="preserve">.</w:t>
      </w:r>
    </w:p>
    <w:bookmarkEnd w:id="337"/>
    <w:bookmarkStart w:id="339"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338">
        <w:r>
          <w:rPr>
            <w:rStyle w:val="Hyperlink"/>
          </w:rPr>
          <w:t xml:space="preserve">https://aemo.com.au/initiatives/major-programs/past-major-programs/five-minute-settlement/5ms-program-management/5ms-commencement</w:t>
        </w:r>
      </w:hyperlink>
      <w:r>
        <w:t xml:space="preserve"> </w:t>
      </w:r>
      <w:r>
        <w:t xml:space="preserve">(accessed 5.23.2022).</w:t>
      </w:r>
    </w:p>
    <w:bookmarkEnd w:id="339"/>
    <w:bookmarkStart w:id="341" w:name="X89e1d13a06c4fc4983081ee3d5bd31282b28c9b"/>
    <w:p>
      <w:pPr>
        <w:pStyle w:val="Bibliography"/>
      </w:pPr>
      <w:r>
        <w:t xml:space="preserve">Australian Energy Market Operator, 2022a. Generation information [WWW Document]. URL</w:t>
      </w:r>
      <w:r>
        <w:t xml:space="preserve"> </w:t>
      </w:r>
      <w:hyperlink r:id="rId340">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341"/>
    <w:bookmarkStart w:id="343" w:name="X198fdb16c8fc7a35b09e2bd06fa55d9778dea13"/>
    <w:p>
      <w:pPr>
        <w:pStyle w:val="Bibliography"/>
      </w:pPr>
      <w:r>
        <w:t xml:space="preserve">Australian Energy Market Operator, 2022d.</w:t>
      </w:r>
      <w:r>
        <w:t xml:space="preserve"> </w:t>
      </w:r>
      <w:hyperlink r:id="rId342">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343"/>
    <w:bookmarkStart w:id="345" w:name="X2be6cc22a49955f8f33216e2ee7e30f4d5251f3"/>
    <w:p>
      <w:pPr>
        <w:pStyle w:val="Bibliography"/>
      </w:pPr>
      <w:r>
        <w:t xml:space="preserve">Australian Energy Market Operator, 2022e.</w:t>
      </w:r>
      <w:r>
        <w:t xml:space="preserve"> </w:t>
      </w:r>
      <w:hyperlink r:id="rId344">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345"/>
    <w:bookmarkStart w:id="346"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346"/>
    <w:bookmarkStart w:id="347"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347"/>
    <w:bookmarkStart w:id="349" w:name="X3f3bf6f6062ae28ac207f19cca41ed92cbea4fc"/>
    <w:p>
      <w:pPr>
        <w:pStyle w:val="Bibliography"/>
      </w:pPr>
      <w:r>
        <w:t xml:space="preserve">Australian Energy Market Operator, 2021f.</w:t>
      </w:r>
      <w:r>
        <w:t xml:space="preserve"> </w:t>
      </w:r>
      <w:hyperlink r:id="rId348">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349"/>
    <w:bookmarkStart w:id="350"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350"/>
    <w:bookmarkStart w:id="351"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351"/>
    <w:bookmarkStart w:id="352"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352"/>
    <w:bookmarkStart w:id="354" w:name="X5b5be612faa4540a649c1fcf2dc213ae48fcd46"/>
    <w:p>
      <w:pPr>
        <w:pStyle w:val="Bibliography"/>
      </w:pPr>
      <w:r>
        <w:t xml:space="preserve">Australian Energy Market Operator, 2021q.</w:t>
      </w:r>
      <w:r>
        <w:t xml:space="preserve"> </w:t>
      </w:r>
      <w:hyperlink r:id="rId353">
        <w:r>
          <w:rPr>
            <w:rStyle w:val="Hyperlink"/>
          </w:rPr>
          <w:t xml:space="preserve">Fast-</w:t>
        </w:r>
        <w:r>
          <w:rPr>
            <w:rStyle w:val="Hyperlink"/>
          </w:rPr>
          <w:t xml:space="preserve">Start Inflexibility Profile</w:t>
        </w:r>
      </w:hyperlink>
      <w:r>
        <w:t xml:space="preserve">.</w:t>
      </w:r>
    </w:p>
    <w:bookmarkEnd w:id="354"/>
    <w:bookmarkStart w:id="355"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355"/>
    <w:bookmarkStart w:id="356"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356"/>
    <w:bookmarkStart w:id="357"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357"/>
    <w:bookmarkStart w:id="359" w:name="Xc80a4ce6e97b6d6e54021b39f96d3cb38ebe560"/>
    <w:p>
      <w:pPr>
        <w:pStyle w:val="Bibliography"/>
      </w:pPr>
      <w:r>
        <w:t xml:space="preserve">Australian Energy Market Operator, 2021l.</w:t>
      </w:r>
      <w:r>
        <w:t xml:space="preserve"> </w:t>
      </w:r>
      <w:hyperlink r:id="rId358">
        <w:r>
          <w:rPr>
            <w:rStyle w:val="Hyperlink"/>
          </w:rPr>
          <w:t xml:space="preserve">Operating the grid with high roof-top solar generation</w:t>
        </w:r>
      </w:hyperlink>
      <w:r>
        <w:t xml:space="preserve">.</w:t>
      </w:r>
    </w:p>
    <w:bookmarkEnd w:id="359"/>
    <w:bookmarkStart w:id="361" w:name="X138fae50e25c01b7409075b0a50e9911ea1d9a1"/>
    <w:p>
      <w:pPr>
        <w:pStyle w:val="Bibliography"/>
      </w:pPr>
      <w:r>
        <w:t xml:space="preserve">Australian Energy Market Operator, 2021k.</w:t>
      </w:r>
      <w:r>
        <w:t xml:space="preserve"> </w:t>
      </w:r>
      <w:hyperlink r:id="rId360">
        <w:r>
          <w:rPr>
            <w:rStyle w:val="Hyperlink"/>
          </w:rPr>
          <w:t xml:space="preserve">Pre-dispatch operating procedure</w:t>
        </w:r>
      </w:hyperlink>
      <w:r>
        <w:t xml:space="preserve">.</w:t>
      </w:r>
    </w:p>
    <w:bookmarkEnd w:id="361"/>
    <w:bookmarkStart w:id="363" w:name="X0602c29f6776959539c049d0a18ec3c3d6c7a73"/>
    <w:p>
      <w:pPr>
        <w:pStyle w:val="Bibliography"/>
      </w:pPr>
      <w:r>
        <w:t xml:space="preserve">Australian Energy Market Operator, 2021m.</w:t>
      </w:r>
      <w:r>
        <w:t xml:space="preserve"> </w:t>
      </w:r>
      <w:hyperlink r:id="rId362">
        <w:r>
          <w:rPr>
            <w:rStyle w:val="Hyperlink"/>
          </w:rPr>
          <w:t xml:space="preserve">Pre-</w:t>
        </w:r>
        <w:r>
          <w:rPr>
            <w:rStyle w:val="Hyperlink"/>
          </w:rPr>
          <w:t xml:space="preserve">Dispatch Sensitivities</w:t>
        </w:r>
      </w:hyperlink>
      <w:r>
        <w:t xml:space="preserve">.</w:t>
      </w:r>
    </w:p>
    <w:bookmarkEnd w:id="363"/>
    <w:bookmarkStart w:id="364"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364"/>
    <w:bookmarkStart w:id="365"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365"/>
    <w:bookmarkStart w:id="367" w:name="X25d6c8931f34b0888aef1a4b1f37d38df3544a3"/>
    <w:p>
      <w:pPr>
        <w:pStyle w:val="Bibliography"/>
      </w:pPr>
      <w:r>
        <w:t xml:space="preserve">Australian Energy Market Operator, 2021n.</w:t>
      </w:r>
      <w:r>
        <w:t xml:space="preserve"> </w:t>
      </w:r>
      <w:hyperlink r:id="rId366">
        <w:r>
          <w:rPr>
            <w:rStyle w:val="Hyperlink"/>
          </w:rPr>
          <w:t xml:space="preserve">Short</w:t>
        </w:r>
        <w:r>
          <w:rPr>
            <w:rStyle w:val="Hyperlink"/>
          </w:rPr>
          <w:t xml:space="preserve"> </w:t>
        </w:r>
        <w:r>
          <w:rPr>
            <w:rStyle w:val="Hyperlink"/>
          </w:rPr>
          <w:t xml:space="preserve">Term Reserve Management</w:t>
        </w:r>
      </w:hyperlink>
      <w:r>
        <w:t xml:space="preserve">.</w:t>
      </w:r>
    </w:p>
    <w:bookmarkEnd w:id="367"/>
    <w:bookmarkStart w:id="36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368"/>
    <w:bookmarkStart w:id="370" w:name="X42f043549b7193d693ae6e1802f73c9d642ba94"/>
    <w:p>
      <w:pPr>
        <w:pStyle w:val="Bibliography"/>
      </w:pPr>
      <w:r>
        <w:t xml:space="preserve">Australian Energy Market Operator, 2020a.</w:t>
      </w:r>
      <w:r>
        <w:t xml:space="preserve"> </w:t>
      </w:r>
      <w:hyperlink r:id="rId36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370"/>
    <w:bookmarkStart w:id="372" w:name="X0e5a15395ae87400b0bd32f617ab7fb54b9a292"/>
    <w:p>
      <w:pPr>
        <w:pStyle w:val="Bibliography"/>
      </w:pPr>
      <w:r>
        <w:t xml:space="preserve">Australian Energy Market Operator, 2020f.</w:t>
      </w:r>
      <w:r>
        <w:t xml:space="preserve"> </w:t>
      </w:r>
      <w:hyperlink r:id="rId37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372"/>
    <w:bookmarkStart w:id="374" w:name="X0be2f5c022c6778c7c7f47026236c7b27614cd9"/>
    <w:p>
      <w:pPr>
        <w:pStyle w:val="Bibliography"/>
      </w:pPr>
      <w:r>
        <w:t xml:space="preserve">Australian Energy Market Operator, 2020b.</w:t>
      </w:r>
      <w:r>
        <w:t xml:space="preserve"> </w:t>
      </w:r>
      <w:hyperlink r:id="rId373">
        <w:r>
          <w:rPr>
            <w:rStyle w:val="Hyperlink"/>
          </w:rPr>
          <w:t xml:space="preserve">2020</w:t>
        </w:r>
        <w:r>
          <w:rPr>
            <w:rStyle w:val="Hyperlink"/>
          </w:rPr>
          <w:t xml:space="preserve"> </w:t>
        </w:r>
        <w:r>
          <w:rPr>
            <w:rStyle w:val="Hyperlink"/>
          </w:rPr>
          <w:t xml:space="preserve">ISP Generation Outlook</w:t>
        </w:r>
      </w:hyperlink>
      <w:r>
        <w:t xml:space="preserve">.</w:t>
      </w:r>
    </w:p>
    <w:bookmarkEnd w:id="374"/>
    <w:bookmarkStart w:id="375" w:name="X6dbca71f20d6dea6ee0577c224e81d3864bbcbe"/>
    <w:p>
      <w:pPr>
        <w:pStyle w:val="Bibliography"/>
      </w:pPr>
      <w:r>
        <w:t xml:space="preserve">Australian Energy Market Operator, 2020p.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371">
        <w:r>
          <w:rPr>
            <w:rStyle w:val="Hyperlink"/>
          </w:rPr>
          <w:t xml:space="preserve">https://aemo.com.au/energy-systems/major-publications/integrated-system-plan-isp/2020-integrated-system-plan-isp</w:t>
        </w:r>
      </w:hyperlink>
    </w:p>
    <w:bookmarkEnd w:id="375"/>
    <w:bookmarkStart w:id="377" w:name="X65c327332b0f72f124cbb058ff6ac08f30604c6"/>
    <w:p>
      <w:pPr>
        <w:pStyle w:val="Bibliography"/>
      </w:pPr>
      <w:r>
        <w:t xml:space="preserve">Australian Energy Market Operator, 2020o.</w:t>
      </w:r>
      <w:r>
        <w:t xml:space="preserve"> </w:t>
      </w:r>
      <w:hyperlink r:id="rId376">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377"/>
    <w:bookmarkStart w:id="378" w:name="X53f76bdd056d9eea02eec09df53cfa79f28c5b7"/>
    <w:p>
      <w:pPr>
        <w:pStyle w:val="Bibliography"/>
      </w:pPr>
      <w:r>
        <w:t xml:space="preserve">Australian Energy Market Operator, 2020k. Interim</w:t>
      </w:r>
      <w:r>
        <w:t xml:space="preserve"> </w:t>
      </w:r>
      <w:r>
        <w:t xml:space="preserve">Primary Frequency Response Requirements</w:t>
      </w:r>
      <w:r>
        <w:t xml:space="preserve">.</w:t>
      </w:r>
    </w:p>
    <w:bookmarkEnd w:id="378"/>
    <w:bookmarkStart w:id="379" w:name="X25d4e8862632231c092922d0533da768306b12c"/>
    <w:p>
      <w:pPr>
        <w:pStyle w:val="Bibliography"/>
      </w:pPr>
      <w:r>
        <w:t xml:space="preserve">Australian Energy Market Operator, 2020g. Market ancillary service specification.</w:t>
      </w:r>
    </w:p>
    <w:bookmarkEnd w:id="379"/>
    <w:bookmarkStart w:id="380" w:name="Xfc619ad5e2a1dfeb5693209aca0f75fa447feeb"/>
    <w:p>
      <w:pPr>
        <w:pStyle w:val="Bibliography"/>
      </w:pPr>
      <w:r>
        <w:t xml:space="preserve">Australian Energy Market Operator, 2020i.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380"/>
    <w:bookmarkStart w:id="381" w:name="X93982e7f1c88923160c0a3117b808f0a1c28969"/>
    <w:p>
      <w:pPr>
        <w:pStyle w:val="Bibliography"/>
      </w:pPr>
      <w:r>
        <w:t xml:space="preserve">Australian Energy Market Operator, 2020e. Power</w:t>
      </w:r>
      <w:r>
        <w:t xml:space="preserve"> </w:t>
      </w:r>
      <w:r>
        <w:t xml:space="preserve">System Requirements</w:t>
      </w:r>
      <w:r>
        <w:t xml:space="preserve">.</w:t>
      </w:r>
    </w:p>
    <w:bookmarkEnd w:id="381"/>
    <w:bookmarkStart w:id="382" w:name="X2713d682f460f54a036fc743e7e0c8571400df5"/>
    <w:p>
      <w:pPr>
        <w:pStyle w:val="Bibliography"/>
      </w:pPr>
      <w:r>
        <w:t xml:space="preserve">Australian Energy Market Operator, 2020l. Quarterly</w:t>
      </w:r>
      <w:r>
        <w:t xml:space="preserve"> </w:t>
      </w:r>
      <w:r>
        <w:t xml:space="preserve">Energy Dynamics Q1</w:t>
      </w:r>
      <w:r>
        <w:t xml:space="preserve"> </w:t>
      </w:r>
      <w:r>
        <w:t xml:space="preserve">2020.</w:t>
      </w:r>
    </w:p>
    <w:bookmarkEnd w:id="382"/>
    <w:bookmarkStart w:id="384" w:name="X32f514c2fd5da416d4352e544a7bc9b85a2b767"/>
    <w:p>
      <w:pPr>
        <w:pStyle w:val="Bibliography"/>
      </w:pPr>
      <w:r>
        <w:t xml:space="preserve">Australian Energy Market Operator, 2020n.</w:t>
      </w:r>
      <w:r>
        <w:t xml:space="preserve"> </w:t>
      </w:r>
      <w:hyperlink r:id="rId383">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384"/>
    <w:bookmarkStart w:id="385" w:name="X2cabe126713e4162a0fb000c86d68d3e3e288c6"/>
    <w:p>
      <w:pPr>
        <w:pStyle w:val="Bibliography"/>
      </w:pPr>
      <w:r>
        <w:t xml:space="preserve">Australian Energy Market Operator, 2020c.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385"/>
    <w:bookmarkStart w:id="386" w:name="X0e03840bb3a8964157d0fa5fb491ec9540cd333"/>
    <w:p>
      <w:pPr>
        <w:pStyle w:val="Bibliography"/>
      </w:pPr>
      <w:r>
        <w:t xml:space="preserve">Australian Energy Market Operator, 2020j.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386"/>
    <w:bookmarkStart w:id="387" w:name="X1e56b8dc9deabe582649f9930346b434910d2bf"/>
    <w:p>
      <w:pPr>
        <w:pStyle w:val="Bibliography"/>
      </w:pPr>
      <w:r>
        <w:t xml:space="preserve">Australian Energy Market Operator, 2020d.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387"/>
    <w:bookmarkStart w:id="388" w:name="X72c0b4894adba6fe5116b27ff4793a7b2f6bd43"/>
    <w:p>
      <w:pPr>
        <w:pStyle w:val="Bibliography"/>
      </w:pPr>
      <w:r>
        <w:t xml:space="preserve">Australian Energy Market Operator, 2020h. System strength in the</w:t>
      </w:r>
      <w:r>
        <w:t xml:space="preserve"> </w:t>
      </w:r>
      <w:r>
        <w:t xml:space="preserve">NEM</w:t>
      </w:r>
      <w:r>
        <w:t xml:space="preserve"> </w:t>
      </w:r>
      <w:r>
        <w:t xml:space="preserve">explained.</w:t>
      </w:r>
    </w:p>
    <w:bookmarkEnd w:id="388"/>
    <w:bookmarkStart w:id="390" w:name="X3f3a611a4aac621679da42392957269bd79b28f"/>
    <w:p>
      <w:pPr>
        <w:pStyle w:val="Bibliography"/>
      </w:pPr>
      <w:r>
        <w:t xml:space="preserve">Australian Energy Market Operator, 2020m.</w:t>
      </w:r>
      <w:r>
        <w:t xml:space="preserve"> </w:t>
      </w:r>
      <w:hyperlink r:id="rId389">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390"/>
    <w:bookmarkStart w:id="392"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391">
        <w:r>
          <w:rPr>
            <w:rStyle w:val="Hyperlink"/>
          </w:rPr>
          <w:t xml:space="preserve">https://aemo.com.au/energy-systems/major-publications/integrated-system-plan-isp/2020-integrated-system-plan-isp/2019-isp-database</w:t>
        </w:r>
      </w:hyperlink>
    </w:p>
    <w:bookmarkEnd w:id="392"/>
    <w:bookmarkStart w:id="393"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391">
        <w:r>
          <w:rPr>
            <w:rStyle w:val="Hyperlink"/>
          </w:rPr>
          <w:t xml:space="preserve">https://aemo.com.au/energy-systems/major-publications/integrated-system-plan-isp/2020-integrated-system-plan-isp/2019-isp-database</w:t>
        </w:r>
      </w:hyperlink>
    </w:p>
    <w:bookmarkEnd w:id="393"/>
    <w:bookmarkStart w:id="394"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394"/>
    <w:bookmarkStart w:id="395"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395"/>
    <w:bookmarkStart w:id="396"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396"/>
    <w:bookmarkStart w:id="397"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397"/>
    <w:bookmarkStart w:id="398"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398"/>
    <w:bookmarkStart w:id="400" w:name="X4987a8262f6f92063ffda336c2631f4f0954a6a"/>
    <w:p>
      <w:pPr>
        <w:pStyle w:val="Bibliography"/>
      </w:pPr>
      <w:r>
        <w:t xml:space="preserve">Australian Energy Market Operator, 2018a.</w:t>
      </w:r>
      <w:r>
        <w:t xml:space="preserve"> </w:t>
      </w:r>
      <w:hyperlink r:id="rId399">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400"/>
    <w:bookmarkStart w:id="401"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401"/>
    <w:bookmarkStart w:id="402" w:name="X677accbfeb336ffeb381645c930e4110a8b0447"/>
    <w:p>
      <w:pPr>
        <w:pStyle w:val="Bibliography"/>
      </w:pPr>
      <w:r>
        <w:t xml:space="preserve">Australian Energy Market Operator, 2018c. Inertia requirements methodology: Inertia requirements &amp; shortfalls.</w:t>
      </w:r>
    </w:p>
    <w:bookmarkEnd w:id="402"/>
    <w:bookmarkStart w:id="403"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403"/>
    <w:bookmarkStart w:id="404"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404"/>
    <w:bookmarkStart w:id="406" w:name="X5c182828f385588cc99aab2cf38eca38b2183a4"/>
    <w:p>
      <w:pPr>
        <w:pStyle w:val="Bibliography"/>
      </w:pPr>
      <w:r>
        <w:t xml:space="preserve">Australian Energy Market Operator, 2018g.</w:t>
      </w:r>
      <w:r>
        <w:t xml:space="preserve"> </w:t>
      </w:r>
      <w:hyperlink r:id="rId405">
        <w:r>
          <w:rPr>
            <w:rStyle w:val="Hyperlink"/>
          </w:rPr>
          <w:t xml:space="preserve">Reserve</w:t>
        </w:r>
        <w:r>
          <w:rPr>
            <w:rStyle w:val="Hyperlink"/>
          </w:rPr>
          <w:t xml:space="preserve"> </w:t>
        </w:r>
        <w:r>
          <w:rPr>
            <w:rStyle w:val="Hyperlink"/>
          </w:rPr>
          <w:t xml:space="preserve">Level Declaration Guidelines</w:t>
        </w:r>
      </w:hyperlink>
      <w:r>
        <w:t xml:space="preserve">.</w:t>
      </w:r>
    </w:p>
    <w:bookmarkEnd w:id="406"/>
    <w:bookmarkStart w:id="407"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407"/>
    <w:bookmarkStart w:id="408"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408"/>
    <w:bookmarkStart w:id="409"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409"/>
    <w:bookmarkStart w:id="410"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410"/>
    <w:bookmarkStart w:id="411"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411"/>
    <w:bookmarkStart w:id="412"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412"/>
    <w:bookmarkStart w:id="413"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413"/>
    <w:bookmarkStart w:id="415" w:name="X3d4c8dbacd98ce489f3f9224cc3851ddc516c4d"/>
    <w:p>
      <w:pPr>
        <w:pStyle w:val="Bibliography"/>
      </w:pPr>
      <w:r>
        <w:t xml:space="preserve">Australian Energy Market Operator, 2012.</w:t>
      </w:r>
      <w:r>
        <w:t xml:space="preserve"> </w:t>
      </w:r>
      <w:hyperlink r:id="rId414">
        <w:r>
          <w:rPr>
            <w:rStyle w:val="Hyperlink"/>
          </w:rPr>
          <w:t xml:space="preserve">Short</w:t>
        </w:r>
        <w:r>
          <w:rPr>
            <w:rStyle w:val="Hyperlink"/>
          </w:rPr>
          <w:t xml:space="preserve"> </w:t>
        </w:r>
        <w:r>
          <w:rPr>
            <w:rStyle w:val="Hyperlink"/>
          </w:rPr>
          <w:t xml:space="preserve">Term PASA Process Description</w:t>
        </w:r>
      </w:hyperlink>
      <w:r>
        <w:t xml:space="preserve">.</w:t>
      </w:r>
    </w:p>
    <w:bookmarkEnd w:id="415"/>
    <w:bookmarkStart w:id="416"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416"/>
    <w:bookmarkStart w:id="418" w:name="Xc186a249c6fb8f47c02edfd5d5d5296888aef42"/>
    <w:p>
      <w:pPr>
        <w:pStyle w:val="Bibliography"/>
      </w:pPr>
      <w:r>
        <w:t xml:space="preserve">Australian Energy Regulator, 2022.</w:t>
      </w:r>
      <w:r>
        <w:t xml:space="preserve"> </w:t>
      </w:r>
      <w:hyperlink r:id="rId417">
        <w:r>
          <w:rPr>
            <w:rStyle w:val="Hyperlink"/>
          </w:rPr>
          <w:t xml:space="preserve">State of the energy market 2022</w:t>
        </w:r>
      </w:hyperlink>
      <w:r>
        <w:t xml:space="preserve">.</w:t>
      </w:r>
    </w:p>
    <w:bookmarkEnd w:id="418"/>
    <w:bookmarkStart w:id="419"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419"/>
    <w:bookmarkStart w:id="420"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420"/>
    <w:bookmarkStart w:id="422" w:name="X64112f62afbcd7ff6be2cba0000e3dcd5442845"/>
    <w:p>
      <w:pPr>
        <w:pStyle w:val="Bibliography"/>
      </w:pPr>
      <w:r>
        <w:t xml:space="preserve">Australian Energy Regulator, 2019.</w:t>
      </w:r>
      <w:r>
        <w:t xml:space="preserve"> </w:t>
      </w:r>
      <w:hyperlink r:id="rId421">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422"/>
    <w:bookmarkStart w:id="424"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423">
        <w:r>
          <w:rPr>
            <w:rStyle w:val="Hyperlink"/>
          </w:rPr>
          <w:t xml:space="preserve">https://pv-map.apvi.org.au</w:t>
        </w:r>
      </w:hyperlink>
      <w:r>
        <w:t xml:space="preserve"> </w:t>
      </w:r>
      <w:r>
        <w:t xml:space="preserve">(accessed 5.23.2022).</w:t>
      </w:r>
    </w:p>
    <w:bookmarkEnd w:id="424"/>
    <w:bookmarkStart w:id="426"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425">
        <w:r>
          <w:rPr>
            <w:rStyle w:val="Hyperlink"/>
          </w:rPr>
          <w:t xml:space="preserve">https://doi.org/10.1002/9780470754245</w:t>
        </w:r>
      </w:hyperlink>
    </w:p>
    <w:bookmarkEnd w:id="426"/>
    <w:bookmarkStart w:id="428"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427">
        <w:r>
          <w:rPr>
            <w:rStyle w:val="Hyperlink"/>
          </w:rPr>
          <w:t xml:space="preserve">https://doi.org/10.1016/j.rser.2018.03.085</w:t>
        </w:r>
      </w:hyperlink>
    </w:p>
    <w:bookmarkEnd w:id="428"/>
    <w:bookmarkStart w:id="430"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429">
        <w:r>
          <w:rPr>
            <w:rStyle w:val="Hyperlink"/>
          </w:rPr>
          <w:t xml:space="preserve">https://doi.org/10.1109/cigre.2005.1532720</w:t>
        </w:r>
      </w:hyperlink>
    </w:p>
    <w:bookmarkEnd w:id="430"/>
    <w:bookmarkStart w:id="432"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431">
        <w:r>
          <w:rPr>
            <w:rStyle w:val="Hyperlink"/>
          </w:rPr>
          <w:t xml:space="preserve">https://doi.org/10.1109/TPWRS.2019.2925557</w:t>
        </w:r>
      </w:hyperlink>
    </w:p>
    <w:bookmarkEnd w:id="432"/>
    <w:bookmarkStart w:id="434"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433">
        <w:r>
          <w:rPr>
            <w:rStyle w:val="Hyperlink"/>
          </w:rPr>
          <w:t xml:space="preserve">https://doi.org/10.26889/9781784671600</w:t>
        </w:r>
      </w:hyperlink>
    </w:p>
    <w:bookmarkEnd w:id="434"/>
    <w:bookmarkStart w:id="436"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435">
        <w:r>
          <w:rPr>
            <w:rStyle w:val="Hyperlink"/>
          </w:rPr>
          <w:t xml:space="preserve">https://doi.org/10.1109/mpe.2017.2729079</w:t>
        </w:r>
      </w:hyperlink>
    </w:p>
    <w:bookmarkEnd w:id="436"/>
    <w:bookmarkStart w:id="438" w:name="Xf689e29b801ef3c74433124fb57662ea6c893fe"/>
    <w:p>
      <w:pPr>
        <w:pStyle w:val="Bibliography"/>
      </w:pPr>
      <w:r>
        <w:t xml:space="preserve">Borenstein, S., Bushnell, J., Mansur, E., 2023.</w:t>
      </w:r>
      <w:r>
        <w:t xml:space="preserve"> </w:t>
      </w:r>
      <w:hyperlink r:id="rId437">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438"/>
    <w:bookmarkStart w:id="440"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439">
        <w:r>
          <w:rPr>
            <w:rStyle w:val="Hyperlink"/>
          </w:rPr>
          <w:t xml:space="preserve">https://doi.org/10.1016/j.tej.2019.106668</w:t>
        </w:r>
      </w:hyperlink>
    </w:p>
    <w:bookmarkEnd w:id="440"/>
    <w:bookmarkStart w:id="441"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441"/>
    <w:bookmarkStart w:id="443"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442">
        <w:r>
          <w:rPr>
            <w:rStyle w:val="Hyperlink"/>
          </w:rPr>
          <w:t xml:space="preserve">https://doi.org/10.1016/j.tej.2013.05.004</w:t>
        </w:r>
      </w:hyperlink>
    </w:p>
    <w:bookmarkEnd w:id="443"/>
    <w:bookmarkStart w:id="445" w:name="ref-cherevatskiyGridFormingEnergy2020"/>
    <w:p>
      <w:pPr>
        <w:pStyle w:val="Bibliography"/>
      </w:pPr>
      <w:r>
        <w:t xml:space="preserve">Cherevatskiy, S., Sproul, S., Zabihi, S., Korte, R., Klingenberg, H., Buchholz, B., Oudalov, A., 2020.</w:t>
      </w:r>
      <w:r>
        <w:t xml:space="preserve"> </w:t>
      </w:r>
      <w:hyperlink r:id="rId444">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445"/>
    <w:bookmarkStart w:id="447"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446">
        <w:r>
          <w:rPr>
            <w:rStyle w:val="Hyperlink"/>
          </w:rPr>
          <w:t xml:space="preserve">https://doi.org/10.1016/j.enpol.2018.12.052</w:t>
        </w:r>
      </w:hyperlink>
    </w:p>
    <w:bookmarkEnd w:id="447"/>
    <w:bookmarkStart w:id="449"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448">
        <w:r>
          <w:rPr>
            <w:rStyle w:val="Hyperlink"/>
          </w:rPr>
          <w:t xml:space="preserve">https://doi.org/10.1109/jproc.2005.857493</w:t>
        </w:r>
      </w:hyperlink>
    </w:p>
    <w:bookmarkEnd w:id="449"/>
    <w:bookmarkStart w:id="450"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450"/>
    <w:bookmarkStart w:id="452"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451">
        <w:r>
          <w:rPr>
            <w:rStyle w:val="Hyperlink"/>
          </w:rPr>
          <w:t xml:space="preserve">https://doi.org/10.1109/TPWRS.2022.3163106</w:t>
        </w:r>
      </w:hyperlink>
    </w:p>
    <w:bookmarkEnd w:id="452"/>
    <w:bookmarkStart w:id="454" w:name="ref-cramtonElectricityMarketDesign2017"/>
    <w:p>
      <w:pPr>
        <w:pStyle w:val="Bibliography"/>
      </w:pPr>
      <w:r>
        <w:t xml:space="preserve">Cramton, P., 2017. Electricity market design. Oxford Review of Economic Policy 33, 589–612.</w:t>
      </w:r>
      <w:r>
        <w:t xml:space="preserve"> </w:t>
      </w:r>
      <w:hyperlink r:id="rId453">
        <w:r>
          <w:rPr>
            <w:rStyle w:val="Hyperlink"/>
          </w:rPr>
          <w:t xml:space="preserve">https://doi.org/10.1093/oxrep/grx041</w:t>
        </w:r>
      </w:hyperlink>
    </w:p>
    <w:bookmarkEnd w:id="454"/>
    <w:bookmarkStart w:id="456"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455">
        <w:r>
          <w:rPr>
            <w:rStyle w:val="Hyperlink"/>
          </w:rPr>
          <w:t xml:space="preserve">https://doi.org/10.1016/j.seta.2021.101286</w:t>
        </w:r>
      </w:hyperlink>
    </w:p>
    <w:bookmarkEnd w:id="456"/>
    <w:bookmarkStart w:id="458"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457">
        <w:r>
          <w:rPr>
            <w:rStyle w:val="Hyperlink"/>
          </w:rPr>
          <w:t xml:space="preserve">https://doi.org/10.1016/j.enpol.2018.09.031</w:t>
        </w:r>
      </w:hyperlink>
    </w:p>
    <w:bookmarkEnd w:id="458"/>
    <w:bookmarkStart w:id="460"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459">
        <w:r>
          <w:rPr>
            <w:rStyle w:val="Hyperlink"/>
          </w:rPr>
          <w:t xml:space="preserve">https://doi.org/10.1093/ooenergy/oiab007</w:t>
        </w:r>
      </w:hyperlink>
    </w:p>
    <w:bookmarkEnd w:id="460"/>
    <w:bookmarkStart w:id="462"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461">
        <w:r>
          <w:rPr>
            <w:rStyle w:val="Hyperlink"/>
          </w:rPr>
          <w:t xml:space="preserve">https://doi.org/10.1016/j.epsr.2021.107022</w:t>
        </w:r>
      </w:hyperlink>
    </w:p>
    <w:bookmarkEnd w:id="462"/>
    <w:bookmarkStart w:id="464"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463">
        <w:r>
          <w:rPr>
            <w:rStyle w:val="Hyperlink"/>
          </w:rPr>
          <w:t xml:space="preserve">https://doi.org/10.1016/j.enpol.2018.01.023</w:t>
        </w:r>
      </w:hyperlink>
    </w:p>
    <w:bookmarkEnd w:id="464"/>
    <w:bookmarkStart w:id="465"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465"/>
    <w:bookmarkStart w:id="466"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466"/>
    <w:bookmarkStart w:id="467"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467"/>
    <w:bookmarkStart w:id="468"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468"/>
    <w:bookmarkStart w:id="470"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469">
        <w:r>
          <w:rPr>
            <w:rStyle w:val="Hyperlink"/>
          </w:rPr>
          <w:t xml:space="preserve">https://doi.org/10.1049/iet-gtd.2013.0720</w:t>
        </w:r>
      </w:hyperlink>
    </w:p>
    <w:bookmarkEnd w:id="470"/>
    <w:bookmarkStart w:id="472"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471">
        <w:r>
          <w:rPr>
            <w:rStyle w:val="Hyperlink"/>
          </w:rPr>
          <w:t xml:space="preserve">https://doi.org/10.1109/MPE.2021.3088958</w:t>
        </w:r>
      </w:hyperlink>
    </w:p>
    <w:bookmarkEnd w:id="472"/>
    <w:bookmarkStart w:id="474"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473">
        <w:r>
          <w:rPr>
            <w:rStyle w:val="Hyperlink"/>
          </w:rPr>
          <w:t xml:space="preserve">https://doi.org/10.1007/s11149-021-09430-7</w:t>
        </w:r>
      </w:hyperlink>
    </w:p>
    <w:bookmarkEnd w:id="474"/>
    <w:bookmarkStart w:id="476" w:name="ref-elaAncillaryServicesUnited2019"/>
    <w:p>
      <w:pPr>
        <w:pStyle w:val="Bibliography"/>
      </w:pPr>
      <w:r>
        <w:t xml:space="preserve">Ela, E., Hytowitz, R.B., 2019.</w:t>
      </w:r>
      <w:r>
        <w:t xml:space="preserve"> </w:t>
      </w:r>
      <w:hyperlink r:id="rId475">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476"/>
    <w:bookmarkStart w:id="478"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477">
        <w:r>
          <w:rPr>
            <w:rStyle w:val="Hyperlink"/>
          </w:rPr>
          <w:t xml:space="preserve">https://doi.org/10.1109/pesgm.2012.6345361</w:t>
        </w:r>
      </w:hyperlink>
    </w:p>
    <w:bookmarkEnd w:id="478"/>
    <w:bookmarkStart w:id="480"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479">
        <w:r>
          <w:rPr>
            <w:rStyle w:val="Hyperlink"/>
          </w:rPr>
          <w:t xml:space="preserve">https://doi.org/10.1016/j.tej.2016.05.001</w:t>
        </w:r>
      </w:hyperlink>
    </w:p>
    <w:bookmarkEnd w:id="480"/>
    <w:bookmarkStart w:id="482"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481">
        <w:r>
          <w:rPr>
            <w:rStyle w:val="Hyperlink"/>
          </w:rPr>
          <w:t xml:space="preserve">https://doi.org/10.2172/1023095</w:t>
        </w:r>
      </w:hyperlink>
    </w:p>
    <w:bookmarkEnd w:id="482"/>
    <w:bookmarkStart w:id="484"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483">
        <w:r>
          <w:rPr>
            <w:rStyle w:val="Hyperlink"/>
          </w:rPr>
          <w:t xml:space="preserve">https://doi.org/10.1109/mpe.2020.3033396</w:t>
        </w:r>
      </w:hyperlink>
    </w:p>
    <w:bookmarkEnd w:id="484"/>
    <w:bookmarkStart w:id="486"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485">
        <w:r>
          <w:rPr>
            <w:rStyle w:val="Hyperlink"/>
          </w:rPr>
          <w:t xml:space="preserve">https://doi.org/10.1109/mpe.2019.2933281</w:t>
        </w:r>
      </w:hyperlink>
    </w:p>
    <w:bookmarkEnd w:id="486"/>
    <w:bookmarkStart w:id="488"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487">
        <w:r>
          <w:rPr>
            <w:rStyle w:val="Hyperlink"/>
          </w:rPr>
          <w:t xml:space="preserve">https://doi.org/10.1016/j.tej.2012.04.015</w:t>
        </w:r>
      </w:hyperlink>
    </w:p>
    <w:bookmarkEnd w:id="488"/>
    <w:bookmarkStart w:id="490"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489">
        <w:r>
          <w:rPr>
            <w:rStyle w:val="Hyperlink"/>
          </w:rPr>
          <w:t xml:space="preserve">https://www.projectenergyconnect.com.au/index.html</w:t>
        </w:r>
      </w:hyperlink>
      <w:r>
        <w:t xml:space="preserve"> </w:t>
      </w:r>
      <w:r>
        <w:t xml:space="preserve">(accessed 4.12.2022).</w:t>
      </w:r>
    </w:p>
    <w:bookmarkEnd w:id="490"/>
    <w:bookmarkStart w:id="492" w:name="Xf2b71f0688f5c136cf7f65402d8c0e046f8bb5c"/>
    <w:p>
      <w:pPr>
        <w:pStyle w:val="Bibliography"/>
      </w:pPr>
      <w:r>
        <w:t xml:space="preserve">Electricity Sector Climate Information Project, 2021.</w:t>
      </w:r>
      <w:r>
        <w:t xml:space="preserve"> </w:t>
      </w:r>
      <w:hyperlink r:id="rId491">
        <w:r>
          <w:rPr>
            <w:rStyle w:val="Hyperlink"/>
          </w:rPr>
          <w:t xml:space="preserve">ESCI Project Final Report</w:t>
        </w:r>
      </w:hyperlink>
      <w:r>
        <w:t xml:space="preserve">.</w:t>
      </w:r>
    </w:p>
    <w:bookmarkEnd w:id="492"/>
    <w:bookmarkStart w:id="493"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493"/>
    <w:bookmarkStart w:id="495"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494">
        <w:r>
          <w:rPr>
            <w:rStyle w:val="Hyperlink"/>
          </w:rPr>
          <w:t xml:space="preserve">https://www.energyexemplar.com/plexos</w:t>
        </w:r>
      </w:hyperlink>
      <w:r>
        <w:t xml:space="preserve"> </w:t>
      </w:r>
      <w:r>
        <w:t xml:space="preserve">(accessed 4.13.2022).</w:t>
      </w:r>
    </w:p>
    <w:bookmarkEnd w:id="495"/>
    <w:bookmarkStart w:id="496" w:name="X7015a224666469daa6d4b0f722bbf71ebae73a3"/>
    <w:p>
      <w:pPr>
        <w:pStyle w:val="Bibliography"/>
      </w:pPr>
      <w:r>
        <w:t xml:space="preserve">Energy Security Board, 2021.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496"/>
    <w:bookmarkStart w:id="497"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497"/>
    <w:bookmarkStart w:id="498"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498"/>
    <w:bookmarkStart w:id="499"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499"/>
    <w:bookmarkStart w:id="500"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500"/>
    <w:bookmarkStart w:id="502"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501">
        <w:r>
          <w:rPr>
            <w:rStyle w:val="Hyperlink"/>
          </w:rPr>
          <w:t xml:space="preserve">https://www.epexspot.com/en/marketcoupling</w:t>
        </w:r>
      </w:hyperlink>
      <w:r>
        <w:t xml:space="preserve"> </w:t>
      </w:r>
      <w:r>
        <w:t xml:space="preserve">(accessed 1.14.2022).</w:t>
      </w:r>
    </w:p>
    <w:bookmarkEnd w:id="502"/>
    <w:bookmarkStart w:id="504"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503">
        <w:r>
          <w:rPr>
            <w:rStyle w:val="Hyperlink"/>
          </w:rPr>
          <w:t xml:space="preserve">https://doi.org/10.1049/iet-rpg.2017.0370</w:t>
        </w:r>
      </w:hyperlink>
    </w:p>
    <w:bookmarkEnd w:id="504"/>
    <w:bookmarkStart w:id="505"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505"/>
    <w:bookmarkStart w:id="506"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506"/>
    <w:bookmarkStart w:id="508" w:name="Xc2eda901e84eb700caa2d19078af1c12c2e9550"/>
    <w:p>
      <w:pPr>
        <w:pStyle w:val="Bibliography"/>
      </w:pPr>
      <w:r>
        <w:t xml:space="preserve">European Commission, 2017.</w:t>
      </w:r>
      <w:r>
        <w:t xml:space="preserve"> </w:t>
      </w:r>
      <w:hyperlink r:id="rId507">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508"/>
    <w:bookmarkStart w:id="509"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509"/>
    <w:bookmarkStart w:id="510"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510"/>
    <w:bookmarkStart w:id="511"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511"/>
    <w:bookmarkStart w:id="513" w:name="Xa6a1827605ca5d143e229c53fba6f164e8ef9ec"/>
    <w:p>
      <w:pPr>
        <w:pStyle w:val="Bibliography"/>
      </w:pPr>
      <w:r>
        <w:t xml:space="preserve">Federal Energy Regulatory Commission, 2021.</w:t>
      </w:r>
      <w:r>
        <w:t xml:space="preserve"> </w:t>
      </w:r>
      <w:hyperlink r:id="rId512">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513"/>
    <w:bookmarkStart w:id="514" w:name="X977aae00333e0cfab0ba7c0b81bad1439afa208"/>
    <w:p>
      <w:pPr>
        <w:pStyle w:val="Bibliography"/>
      </w:pPr>
      <w:r>
        <w:t xml:space="preserve">Federal Energy Regulatory Commission, 2018.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514"/>
    <w:bookmarkStart w:id="516"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515">
        <w:r>
          <w:rPr>
            <w:rStyle w:val="Hyperlink"/>
          </w:rPr>
          <w:t xml:space="preserve">https://doi.org/10.1016/j.rser.2019.109662</w:t>
        </w:r>
      </w:hyperlink>
    </w:p>
    <w:bookmarkEnd w:id="516"/>
    <w:bookmarkStart w:id="518"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517">
        <w:r>
          <w:rPr>
            <w:rStyle w:val="Hyperlink"/>
          </w:rPr>
          <w:t xml:space="preserve">https://doi.org/10.1016/j.enpol.2021.112443</w:t>
        </w:r>
      </w:hyperlink>
    </w:p>
    <w:bookmarkEnd w:id="518"/>
    <w:bookmarkStart w:id="520"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519">
        <w:r>
          <w:rPr>
            <w:rStyle w:val="Hyperlink"/>
          </w:rPr>
          <w:t xml:space="preserve">https://doi.org/10.1016/j.joule.2021.03.021</w:t>
        </w:r>
      </w:hyperlink>
    </w:p>
    <w:bookmarkEnd w:id="520"/>
    <w:bookmarkStart w:id="522"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521">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522"/>
    <w:bookmarkStart w:id="523"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523"/>
    <w:bookmarkStart w:id="525" w:name="ref-gimonGridPhysicsMarkets2020"/>
    <w:p>
      <w:pPr>
        <w:pStyle w:val="Bibliography"/>
      </w:pPr>
      <w:r>
        <w:t xml:space="preserve">Gimon, E., 2020.</w:t>
      </w:r>
      <w:r>
        <w:t xml:space="preserve"> </w:t>
      </w:r>
      <w:hyperlink r:id="rId524">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525"/>
    <w:bookmarkStart w:id="527"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526">
        <w:r>
          <w:rPr>
            <w:rStyle w:val="Hyperlink"/>
          </w:rPr>
          <w:t xml:space="preserve">https://doi.org/10.1016/j.rser.2017.05.278</w:t>
        </w:r>
      </w:hyperlink>
    </w:p>
    <w:bookmarkEnd w:id="527"/>
    <w:bookmarkStart w:id="529" w:name="ref-gormanNEMOSISNEMOpen2018"/>
    <w:p>
      <w:pPr>
        <w:pStyle w:val="Bibliography"/>
      </w:pPr>
      <w:r>
        <w:t xml:space="preserve">Gorman, N., Haghdadi, N., Bruce, A., MacGill, I., 2018.</w:t>
      </w:r>
      <w:r>
        <w:t xml:space="preserve"> </w:t>
      </w:r>
      <w:hyperlink r:id="rId528">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529"/>
    <w:bookmarkStart w:id="530"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530"/>
    <w:bookmarkStart w:id="532"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531">
        <w:r>
          <w:rPr>
            <w:rStyle w:val="Hyperlink"/>
          </w:rPr>
          <w:t xml:space="preserve">https://doi.org/10.17775/cseejpes.2019.00230</w:t>
        </w:r>
      </w:hyperlink>
    </w:p>
    <w:bookmarkEnd w:id="532"/>
    <w:bookmarkStart w:id="534"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533">
        <w:r>
          <w:rPr>
            <w:rStyle w:val="Hyperlink"/>
          </w:rPr>
          <w:t xml:space="preserve">https://doi.org/10.1080/23251042.2016.1155690</w:t>
        </w:r>
      </w:hyperlink>
    </w:p>
    <w:bookmarkEnd w:id="534"/>
    <w:bookmarkStart w:id="536"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535">
        <w:r>
          <w:rPr>
            <w:rStyle w:val="Hyperlink"/>
          </w:rPr>
          <w:t xml:space="preserve">https://doi.org/10.1002/2050-7038.12128</w:t>
        </w:r>
      </w:hyperlink>
    </w:p>
    <w:bookmarkEnd w:id="536"/>
    <w:bookmarkStart w:id="538"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537">
        <w:r>
          <w:rPr>
            <w:rStyle w:val="Hyperlink"/>
          </w:rPr>
          <w:t xml:space="preserve">https://doi.org/10.1109/tpwrs.2020.3041774</w:t>
        </w:r>
      </w:hyperlink>
    </w:p>
    <w:bookmarkEnd w:id="538"/>
    <w:bookmarkStart w:id="540" w:name="ref-heggartyQuantifyingPowerSystem2020"/>
    <w:p>
      <w:pPr>
        <w:pStyle w:val="Bibliography"/>
      </w:pPr>
      <w:r>
        <w:t xml:space="preserve">Heggarty, T., Bourmaud, J.Y., Girard, R., Kariniotakis, G., 2020. Quantifying power system flexibility provision. Applied Energy 279.</w:t>
      </w:r>
      <w:r>
        <w:t xml:space="preserve"> </w:t>
      </w:r>
      <w:hyperlink r:id="rId539">
        <w:r>
          <w:rPr>
            <w:rStyle w:val="Hyperlink"/>
          </w:rPr>
          <w:t xml:space="preserve">https://doi.org/10.1016/j.apenergy.2020.115852</w:t>
        </w:r>
      </w:hyperlink>
    </w:p>
    <w:bookmarkEnd w:id="540"/>
    <w:bookmarkStart w:id="541"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541"/>
    <w:bookmarkStart w:id="543"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542">
        <w:r>
          <w:rPr>
            <w:rStyle w:val="Hyperlink"/>
          </w:rPr>
          <w:t xml:space="preserve">https://doi.org/10.5547/01956574.37.3.lhir</w:t>
        </w:r>
      </w:hyperlink>
    </w:p>
    <w:bookmarkEnd w:id="543"/>
    <w:bookmarkStart w:id="545"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544">
        <w:r>
          <w:rPr>
            <w:rStyle w:val="Hyperlink"/>
          </w:rPr>
          <w:t xml:space="preserve">https://doi.org/10.1016/j.rser.2015.04.180</w:t>
        </w:r>
      </w:hyperlink>
    </w:p>
    <w:bookmarkEnd w:id="545"/>
    <w:bookmarkStart w:id="547"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546">
        <w:r>
          <w:rPr>
            <w:rStyle w:val="Hyperlink"/>
          </w:rPr>
          <w:t xml:space="preserve">https://doi.org/10.1109/mpe.2018.2871736</w:t>
        </w:r>
      </w:hyperlink>
    </w:p>
    <w:bookmarkEnd w:id="547"/>
    <w:bookmarkStart w:id="549" w:name="ref-hoganElectricityScarcityPricing2013"/>
    <w:p>
      <w:pPr>
        <w:pStyle w:val="Bibliography"/>
      </w:pPr>
      <w:r>
        <w:t xml:space="preserve">Hogan, W.W., 2013. Electricity scarcity pricing through operating reserves. Economics of Energy and Environmental Policy 2, 65–86.</w:t>
      </w:r>
      <w:r>
        <w:t xml:space="preserve"> </w:t>
      </w:r>
      <w:hyperlink r:id="rId548">
        <w:r>
          <w:rPr>
            <w:rStyle w:val="Hyperlink"/>
          </w:rPr>
          <w:t xml:space="preserve">https://doi.org/10.5547/2160-5890.2.2.4</w:t>
        </w:r>
      </w:hyperlink>
    </w:p>
    <w:bookmarkEnd w:id="549"/>
    <w:bookmarkStart w:id="550"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550"/>
    <w:bookmarkStart w:id="551"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551"/>
    <w:bookmarkStart w:id="553"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552">
        <w:r>
          <w:rPr>
            <w:rStyle w:val="Hyperlink"/>
          </w:rPr>
          <w:t xml:space="preserve">https://doi.org/10.1109/pesmg.2013.6673067</w:t>
        </w:r>
      </w:hyperlink>
    </w:p>
    <w:bookmarkEnd w:id="553"/>
    <w:bookmarkStart w:id="555" w:name="ref-hopwoodMandatoryPrimaryFrequency2019"/>
    <w:p>
      <w:pPr>
        <w:pStyle w:val="Bibliography"/>
      </w:pPr>
      <w:r>
        <w:t xml:space="preserve">Hopwood, C., 2019.</w:t>
      </w:r>
      <w:r>
        <w:t xml:space="preserve"> </w:t>
      </w:r>
      <w:hyperlink r:id="rId554">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555"/>
    <w:bookmarkStart w:id="557"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556">
        <w:r>
          <w:rPr>
            <w:rStyle w:val="Hyperlink"/>
          </w:rPr>
          <w:t xml:space="preserve">https://doi.org/10.1016/j.tej.2017.01.009</w:t>
        </w:r>
      </w:hyperlink>
    </w:p>
    <w:bookmarkEnd w:id="557"/>
    <w:bookmarkStart w:id="55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558"/>
    <w:bookmarkStart w:id="560"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559">
        <w:r>
          <w:rPr>
            <w:rStyle w:val="Hyperlink"/>
          </w:rPr>
          <w:t xml:space="preserve">https://doi.org/10.1016/j.tej.2004.03.001</w:t>
        </w:r>
      </w:hyperlink>
    </w:p>
    <w:bookmarkEnd w:id="560"/>
    <w:bookmarkStart w:id="562"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561">
        <w:r>
          <w:rPr>
            <w:rStyle w:val="Hyperlink"/>
          </w:rPr>
          <w:t xml:space="preserve">https://www.ibm.com/au-en/analytics/cplex-optimizer</w:t>
        </w:r>
      </w:hyperlink>
      <w:r>
        <w:t xml:space="preserve"> </w:t>
      </w:r>
      <w:r>
        <w:t xml:space="preserve">(accessed 4.13.2022).</w:t>
      </w:r>
    </w:p>
    <w:bookmarkEnd w:id="562"/>
    <w:bookmarkStart w:id="564" w:name="X1037d6da6301a89f5efffbd855b21f9bbda8894"/>
    <w:p>
      <w:pPr>
        <w:pStyle w:val="Bibliography"/>
      </w:pPr>
      <w:r>
        <w:t xml:space="preserve">International Energy Agency, 2022.</w:t>
      </w:r>
      <w:r>
        <w:t xml:space="preserve"> </w:t>
      </w:r>
      <w:hyperlink r:id="rId563">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564"/>
    <w:bookmarkStart w:id="566" w:name="X707547308052f2a4e45271b892818fca7267bcd"/>
    <w:p>
      <w:pPr>
        <w:pStyle w:val="Bibliography"/>
      </w:pPr>
      <w:r>
        <w:t xml:space="preserve">International Energy Agency, 2021.</w:t>
      </w:r>
      <w:r>
        <w:t xml:space="preserve"> </w:t>
      </w:r>
      <w:hyperlink r:id="rId565">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566"/>
    <w:bookmarkStart w:id="568" w:name="X6b2116a6968c52d8682ee37430ab1b91744235c"/>
    <w:p>
      <w:pPr>
        <w:pStyle w:val="Bibliography"/>
      </w:pPr>
      <w:r>
        <w:t xml:space="preserve">International Energy Agency, 2019.</w:t>
      </w:r>
      <w:r>
        <w:t xml:space="preserve"> </w:t>
      </w:r>
      <w:hyperlink r:id="rId567">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568"/>
    <w:bookmarkStart w:id="57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569">
        <w:r>
          <w:rPr>
            <w:rStyle w:val="Hyperlink"/>
          </w:rPr>
          <w:t xml:space="preserve">https://doi.org/10.1016/j.enpol.2008.06.033</w:t>
        </w:r>
      </w:hyperlink>
    </w:p>
    <w:bookmarkEnd w:id="570"/>
    <w:bookmarkStart w:id="57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571">
        <w:r>
          <w:rPr>
            <w:rStyle w:val="Hyperlink"/>
          </w:rPr>
          <w:t xml:space="preserve">https://doi.org/10.1016/j.tej.2006.09.010</w:t>
        </w:r>
      </w:hyperlink>
    </w:p>
    <w:bookmarkEnd w:id="572"/>
    <w:bookmarkStart w:id="573"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573"/>
    <w:bookmarkStart w:id="575"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574">
        <w:r>
          <w:rPr>
            <w:rStyle w:val="Hyperlink"/>
          </w:rPr>
          <w:t xml:space="preserve">https://doi.org/10.1016/j.renene.2020.11.090</w:t>
        </w:r>
      </w:hyperlink>
    </w:p>
    <w:bookmarkEnd w:id="575"/>
    <w:bookmarkStart w:id="577"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576">
        <w:r>
          <w:rPr>
            <w:rStyle w:val="Hyperlink"/>
          </w:rPr>
          <w:t xml:space="preserve">https://doi.org/10.1016/j.solener.2020.05.053</w:t>
        </w:r>
      </w:hyperlink>
    </w:p>
    <w:bookmarkEnd w:id="577"/>
    <w:bookmarkStart w:id="578"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578"/>
    <w:bookmarkStart w:id="579"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579"/>
    <w:bookmarkStart w:id="581"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80">
        <w:r>
          <w:rPr>
            <w:rStyle w:val="Hyperlink"/>
          </w:rPr>
          <w:t xml:space="preserve">https://doi.org/10.1002/0470020598</w:t>
        </w:r>
      </w:hyperlink>
    </w:p>
    <w:bookmarkEnd w:id="581"/>
    <w:bookmarkStart w:id="583"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582">
        <w:r>
          <w:rPr>
            <w:rStyle w:val="Hyperlink"/>
          </w:rPr>
          <w:t xml:space="preserve">https://doi.org/10.1109/MPE.2016.2524964</w:t>
        </w:r>
      </w:hyperlink>
    </w:p>
    <w:bookmarkEnd w:id="583"/>
    <w:bookmarkStart w:id="585"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584">
        <w:r>
          <w:rPr>
            <w:rStyle w:val="Hyperlink"/>
          </w:rPr>
          <w:t xml:space="preserve">https://doi.org/10.1109/mpe.2016.2637122</w:t>
        </w:r>
      </w:hyperlink>
    </w:p>
    <w:bookmarkEnd w:id="585"/>
    <w:bookmarkStart w:id="587" w:name="ref-kuiperWhatStateVirtual2022"/>
    <w:p>
      <w:pPr>
        <w:pStyle w:val="Bibliography"/>
      </w:pPr>
      <w:r>
        <w:t xml:space="preserve">Kuiper, G., 2022.</w:t>
      </w:r>
      <w:r>
        <w:t xml:space="preserve"> </w:t>
      </w:r>
      <w:hyperlink r:id="rId586">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587"/>
    <w:bookmarkStart w:id="589"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588">
        <w:r>
          <w:rPr>
            <w:rStyle w:val="Hyperlink"/>
          </w:rPr>
          <w:t xml:space="preserve">https://doi.org/10.2172/1046269</w:t>
        </w:r>
      </w:hyperlink>
    </w:p>
    <w:bookmarkEnd w:id="589"/>
    <w:bookmarkStart w:id="591" w:name="ref-lagoMarketFrameworkGrid2021"/>
    <w:p>
      <w:pPr>
        <w:pStyle w:val="Bibliography"/>
      </w:pPr>
      <w:r>
        <w:t xml:space="preserve">Lago, J., Poplavskaya, K., Suryanarayana, G., De Schutter, B., 2021. A market framework for grid balancing support through imbalances trading. Renewable and Sustainable Energy Reviews 137, 110467.</w:t>
      </w:r>
      <w:r>
        <w:t xml:space="preserve"> </w:t>
      </w:r>
      <w:hyperlink r:id="rId590">
        <w:r>
          <w:rPr>
            <w:rStyle w:val="Hyperlink"/>
          </w:rPr>
          <w:t xml:space="preserve">https://doi.org/10.1016/j.rser.2020.110467</w:t>
        </w:r>
      </w:hyperlink>
    </w:p>
    <w:bookmarkEnd w:id="591"/>
    <w:bookmarkStart w:id="593"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592">
        <w:r>
          <w:rPr>
            <w:rStyle w:val="Hyperlink"/>
          </w:rPr>
          <w:t xml:space="preserve">https://doi.org/10.1109/mpe.2021.3088959</w:t>
        </w:r>
      </w:hyperlink>
    </w:p>
    <w:bookmarkEnd w:id="593"/>
    <w:bookmarkStart w:id="595"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594">
        <w:r>
          <w:rPr>
            <w:rStyle w:val="Hyperlink"/>
          </w:rPr>
          <w:t xml:space="preserve">https://doi.org/10.1109/tpwrs.2014.2321793</w:t>
        </w:r>
      </w:hyperlink>
    </w:p>
    <w:bookmarkEnd w:id="595"/>
    <w:bookmarkStart w:id="597"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596">
        <w:r>
          <w:rPr>
            <w:rStyle w:val="Hyperlink"/>
          </w:rPr>
          <w:t xml:space="preserve">https://doi.org/10.1109/tpwrs.2011.2177280</w:t>
        </w:r>
      </w:hyperlink>
    </w:p>
    <w:bookmarkEnd w:id="597"/>
    <w:bookmarkStart w:id="599"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598">
        <w:r>
          <w:rPr>
            <w:rStyle w:val="Hyperlink"/>
          </w:rPr>
          <w:t xml:space="preserve">https://doi.org/10.1109/pesgm.2012.6345375</w:t>
        </w:r>
      </w:hyperlink>
    </w:p>
    <w:bookmarkEnd w:id="599"/>
    <w:bookmarkStart w:id="601"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600">
        <w:r>
          <w:rPr>
            <w:rStyle w:val="Hyperlink"/>
          </w:rPr>
          <w:t xml:space="preserve">https://doi.org/10.2172/1220243</w:t>
        </w:r>
      </w:hyperlink>
    </w:p>
    <w:bookmarkEnd w:id="601"/>
    <w:bookmarkStart w:id="602"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602"/>
    <w:bookmarkStart w:id="60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603">
        <w:r>
          <w:rPr>
            <w:rStyle w:val="Hyperlink"/>
          </w:rPr>
          <w:t xml:space="preserve">https://doi.org/10.1109/MPE.2021.3072819</w:t>
        </w:r>
      </w:hyperlink>
    </w:p>
    <w:bookmarkEnd w:id="604"/>
    <w:bookmarkStart w:id="606"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605">
        <w:r>
          <w:rPr>
            <w:rStyle w:val="Hyperlink"/>
          </w:rPr>
          <w:t xml:space="preserve">https://doi.org/10.1016/j.enpol.2020.111739</w:t>
        </w:r>
      </w:hyperlink>
    </w:p>
    <w:bookmarkEnd w:id="606"/>
    <w:bookmarkStart w:id="608"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607">
        <w:r>
          <w:rPr>
            <w:rStyle w:val="Hyperlink"/>
          </w:rPr>
          <w:t xml:space="preserve">https://doi.org/10.1109/pesgm41954.2020.9282169</w:t>
        </w:r>
      </w:hyperlink>
    </w:p>
    <w:bookmarkEnd w:id="608"/>
    <w:bookmarkStart w:id="610"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609">
        <w:r>
          <w:rPr>
            <w:rStyle w:val="Hyperlink"/>
          </w:rPr>
          <w:t xml:space="preserve">https://doi.org/10.1016/j.tej.2020.106831</w:t>
        </w:r>
      </w:hyperlink>
    </w:p>
    <w:bookmarkEnd w:id="610"/>
    <w:bookmarkStart w:id="612"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611">
        <w:r>
          <w:rPr>
            <w:rStyle w:val="Hyperlink"/>
          </w:rPr>
          <w:t xml:space="preserve">https://doi.org/10.1016/B978-0-12-397891-2.00020-1</w:t>
        </w:r>
      </w:hyperlink>
    </w:p>
    <w:bookmarkEnd w:id="612"/>
    <w:bookmarkStart w:id="613"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613"/>
    <w:bookmarkStart w:id="615"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614">
        <w:r>
          <w:rPr>
            <w:rStyle w:val="Hyperlink"/>
          </w:rPr>
          <w:t xml:space="preserve">https://doi.org/10.1109/mpe.2020.3043570</w:t>
        </w:r>
      </w:hyperlink>
    </w:p>
    <w:bookmarkEnd w:id="615"/>
    <w:bookmarkStart w:id="617"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616">
        <w:r>
          <w:rPr>
            <w:rStyle w:val="Hyperlink"/>
          </w:rPr>
          <w:t xml:space="preserve">https://doi.org/10.1002/0471668826</w:t>
        </w:r>
      </w:hyperlink>
    </w:p>
    <w:bookmarkEnd w:id="617"/>
    <w:bookmarkStart w:id="619"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618">
        <w:r>
          <w:rPr>
            <w:rStyle w:val="Hyperlink"/>
          </w:rPr>
          <w:t xml:space="preserve">https://doi.org/10.1109/mpe.2021.3104075</w:t>
        </w:r>
      </w:hyperlink>
    </w:p>
    <w:bookmarkEnd w:id="619"/>
    <w:bookmarkStart w:id="621" w:name="ref-maysMissingIncentivesFlexibility2021"/>
    <w:p>
      <w:pPr>
        <w:pStyle w:val="Bibliography"/>
      </w:pPr>
      <w:r>
        <w:t xml:space="preserve">Mays, J., 2021. Missing incentives for flexibility in wholesale electricity markets. Energy Policy 149, 112010.</w:t>
      </w:r>
      <w:r>
        <w:t xml:space="preserve"> </w:t>
      </w:r>
      <w:hyperlink r:id="rId620">
        <w:r>
          <w:rPr>
            <w:rStyle w:val="Hyperlink"/>
          </w:rPr>
          <w:t xml:space="preserve">https://doi.org/10.1016/j.enpol.2020.112010</w:t>
        </w:r>
      </w:hyperlink>
    </w:p>
    <w:bookmarkEnd w:id="621"/>
    <w:bookmarkStart w:id="623"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622">
        <w:r>
          <w:rPr>
            <w:rStyle w:val="Hyperlink"/>
          </w:rPr>
          <w:t xml:space="preserve">https://doi.org/10.1016/j.joule.2022.01.004</w:t>
        </w:r>
      </w:hyperlink>
    </w:p>
    <w:bookmarkEnd w:id="623"/>
    <w:bookmarkStart w:id="625"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624">
        <w:r>
          <w:rPr>
            <w:rStyle w:val="Hyperlink"/>
          </w:rPr>
          <w:t xml:space="preserve">https://doi.org/10.1002/wene.399</w:t>
        </w:r>
      </w:hyperlink>
    </w:p>
    <w:bookmarkEnd w:id="625"/>
    <w:bookmarkStart w:id="627"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626">
        <w:r>
          <w:rPr>
            <w:rStyle w:val="Hyperlink"/>
          </w:rPr>
          <w:t xml:space="preserve">https://doi.org/10.23919/pscc.2018.8450880</w:t>
        </w:r>
      </w:hyperlink>
    </w:p>
    <w:bookmarkEnd w:id="627"/>
    <w:bookmarkStart w:id="629" w:name="ref-millerAdvisoryEquipmentLimits2017"/>
    <w:p>
      <w:pPr>
        <w:pStyle w:val="Bibliography"/>
      </w:pPr>
      <w:r>
        <w:t xml:space="preserve">Miller, N., Lew, D., Barnes, S., Ren, W., Reichard, M., Alexander, M., Freeman, L., Achilles, S., Adamiak, M., 2017a.</w:t>
      </w:r>
      <w:r>
        <w:t xml:space="preserve"> </w:t>
      </w:r>
      <w:hyperlink r:id="rId628">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629"/>
    <w:bookmarkStart w:id="630"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630"/>
    <w:bookmarkStart w:id="632"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631">
        <w:r>
          <w:rPr>
            <w:rStyle w:val="Hyperlink"/>
          </w:rPr>
          <w:t xml:space="preserve">https://doi.org/10.1016/j.tej.2011.10.011</w:t>
        </w:r>
      </w:hyperlink>
    </w:p>
    <w:bookmarkEnd w:id="632"/>
    <w:bookmarkStart w:id="633"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633"/>
    <w:bookmarkStart w:id="635"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634">
        <w:r>
          <w:rPr>
            <w:rStyle w:val="Hyperlink"/>
          </w:rPr>
          <w:t xml:space="preserve">https://doi.org/10.1109/tpwrs.2019.2897727</w:t>
        </w:r>
      </w:hyperlink>
    </w:p>
    <w:bookmarkEnd w:id="635"/>
    <w:bookmarkStart w:id="637" w:name="X924f2cb14b06b22bf527e8a066222b69a4c5b25"/>
    <w:p>
      <w:pPr>
        <w:pStyle w:val="Bibliography"/>
      </w:pPr>
      <w:r>
        <w:t xml:space="preserve">Monitoring Analytics, 2021.</w:t>
      </w:r>
      <w:r>
        <w:t xml:space="preserve"> </w:t>
      </w:r>
      <w:hyperlink r:id="rId636">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637"/>
    <w:bookmarkStart w:id="639"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638">
        <w:r>
          <w:rPr>
            <w:rStyle w:val="Hyperlink"/>
          </w:rPr>
          <w:t xml:space="preserve">https://doi.org/10.1016/j.ijepes.2013.09.020</w:t>
        </w:r>
      </w:hyperlink>
    </w:p>
    <w:bookmarkEnd w:id="639"/>
    <w:bookmarkStart w:id="640"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640"/>
    <w:bookmarkStart w:id="642" w:name="ref-nemocommitteeSingleIntradayCoupling"/>
    <w:p>
      <w:pPr>
        <w:pStyle w:val="Bibliography"/>
      </w:pPr>
      <w:r>
        <w:t xml:space="preserve">NEMO Committee, n.d. Single Intraday Coupling (SIDC) [WWW Document]. URL</w:t>
      </w:r>
      <w:r>
        <w:t xml:space="preserve"> </w:t>
      </w:r>
      <w:hyperlink r:id="rId641">
        <w:r>
          <w:rPr>
            <w:rStyle w:val="Hyperlink"/>
          </w:rPr>
          <w:t xml:space="preserve">https://nemo-committee.eu/sidc</w:t>
        </w:r>
      </w:hyperlink>
      <w:r>
        <w:t xml:space="preserve"> </w:t>
      </w:r>
      <w:r>
        <w:t xml:space="preserve">(accessed 1.14.2022).</w:t>
      </w:r>
    </w:p>
    <w:bookmarkEnd w:id="642"/>
    <w:bookmarkStart w:id="643"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643"/>
    <w:bookmarkStart w:id="645"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644">
        <w:r>
          <w:rPr>
            <w:rStyle w:val="Hyperlink"/>
          </w:rPr>
          <w:t xml:space="preserve">https://www.nerc.com/AboutNERC/keyplayers/PublishingImages/NERC%20Interconnections.pdf</w:t>
        </w:r>
      </w:hyperlink>
      <w:r>
        <w:t xml:space="preserve"> </w:t>
      </w:r>
      <w:r>
        <w:t xml:space="preserve">(accessed 10.26.2023).</w:t>
      </w:r>
    </w:p>
    <w:bookmarkEnd w:id="645"/>
    <w:bookmarkStart w:id="647" w:name="X2d2088817746795390ef3fc2d6e57d520a5b77f"/>
    <w:p>
      <w:pPr>
        <w:pStyle w:val="Bibliography"/>
      </w:pPr>
      <w:r>
        <w:t xml:space="preserve">North American Electric Reliability Corporation, 2022.</w:t>
      </w:r>
      <w:r>
        <w:t xml:space="preserve"> </w:t>
      </w:r>
      <w:hyperlink r:id="rId646">
        <w:r>
          <w:rPr>
            <w:rStyle w:val="Hyperlink"/>
          </w:rPr>
          <w:t xml:space="preserve">2022</w:t>
        </w:r>
        <w:r>
          <w:rPr>
            <w:rStyle w:val="Hyperlink"/>
          </w:rPr>
          <w:t xml:space="preserve"> </w:t>
        </w:r>
        <w:r>
          <w:rPr>
            <w:rStyle w:val="Hyperlink"/>
          </w:rPr>
          <w:t xml:space="preserve">Summer Reliability Assessment</w:t>
        </w:r>
      </w:hyperlink>
      <w:r>
        <w:t xml:space="preserve">.</w:t>
      </w:r>
    </w:p>
    <w:bookmarkEnd w:id="647"/>
    <w:bookmarkStart w:id="649"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648">
        <w:r>
          <w:rPr>
            <w:rStyle w:val="Hyperlink"/>
          </w:rPr>
          <w:t xml:space="preserve">https://doi.org/10.1109/tste.2015.2410760</w:t>
        </w:r>
      </w:hyperlink>
    </w:p>
    <w:bookmarkEnd w:id="649"/>
    <w:bookmarkStart w:id="651"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650">
        <w:r>
          <w:rPr>
            <w:rStyle w:val="Hyperlink"/>
          </w:rPr>
          <w:t xml:space="preserve">https://doi.org/10.1109/eem.2016.7521193</w:t>
        </w:r>
      </w:hyperlink>
    </w:p>
    <w:bookmarkEnd w:id="651"/>
    <w:bookmarkStart w:id="653"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652">
        <w:r>
          <w:rPr>
            <w:rStyle w:val="Hyperlink"/>
          </w:rPr>
          <w:t xml:space="preserve">https://doi.org/10.1016/j.rser.2016.09.040</w:t>
        </w:r>
      </w:hyperlink>
    </w:p>
    <w:bookmarkEnd w:id="653"/>
    <w:bookmarkStart w:id="655"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654">
        <w:r>
          <w:rPr>
            <w:rStyle w:val="Hyperlink"/>
          </w:rPr>
          <w:t xml:space="preserve">https://doi.org/10.1016/j.eneco.2018.05.003</w:t>
        </w:r>
      </w:hyperlink>
    </w:p>
    <w:bookmarkEnd w:id="655"/>
    <w:bookmarkStart w:id="657"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656">
        <w:r>
          <w:rPr>
            <w:rStyle w:val="Hyperlink"/>
          </w:rPr>
          <w:t xml:space="preserve">https://doi.org/10.1109/pmaps47429.2020.9183585</w:t>
        </w:r>
      </w:hyperlink>
    </w:p>
    <w:bookmarkEnd w:id="657"/>
    <w:bookmarkStart w:id="659"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658">
        <w:r>
          <w:rPr>
            <w:rStyle w:val="Hyperlink"/>
          </w:rPr>
          <w:t xml:space="preserve">https://doi.org/10.1016/j.tej.2018.05.012</w:t>
        </w:r>
      </w:hyperlink>
    </w:p>
    <w:bookmarkEnd w:id="659"/>
    <w:bookmarkStart w:id="661"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660">
        <w:r>
          <w:rPr>
            <w:rStyle w:val="Hyperlink"/>
          </w:rPr>
          <w:t xml:space="preserve">https://doi.org/10.1109/TPWRS.2013.2293127</w:t>
        </w:r>
      </w:hyperlink>
    </w:p>
    <w:bookmarkEnd w:id="661"/>
    <w:bookmarkStart w:id="663"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662">
        <w:r>
          <w:rPr>
            <w:rStyle w:val="Hyperlink"/>
          </w:rPr>
          <w:t xml:space="preserve">https://doi.org/10.1016/j.renene.2018.04.094</w:t>
        </w:r>
      </w:hyperlink>
    </w:p>
    <w:bookmarkEnd w:id="663"/>
    <w:bookmarkStart w:id="665"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664">
        <w:r>
          <w:rPr>
            <w:rStyle w:val="Hyperlink"/>
          </w:rPr>
          <w:t xml:space="preserve">https://doi.org/10.1016/j.tej.2020.106863</w:t>
        </w:r>
      </w:hyperlink>
    </w:p>
    <w:bookmarkEnd w:id="665"/>
    <w:bookmarkStart w:id="667"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666">
        <w:r>
          <w:rPr>
            <w:rStyle w:val="Hyperlink"/>
          </w:rPr>
          <w:t xml:space="preserve">https://wattclarity.com.au/articles/2021/12/two-improvements-in-nemde-dispatch/</w:t>
        </w:r>
      </w:hyperlink>
      <w:r>
        <w:t xml:space="preserve"> </w:t>
      </w:r>
      <w:r>
        <w:t xml:space="preserve">(accessed 5.23.2022).</w:t>
      </w:r>
    </w:p>
    <w:bookmarkEnd w:id="667"/>
    <w:bookmarkStart w:id="668"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668"/>
    <w:bookmarkStart w:id="670"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669">
        <w:r>
          <w:rPr>
            <w:rStyle w:val="Hyperlink"/>
          </w:rPr>
          <w:t xml:space="preserve">https://doi.org/10.1016/j.enpol.2018.11.009</w:t>
        </w:r>
      </w:hyperlink>
    </w:p>
    <w:bookmarkEnd w:id="670"/>
    <w:bookmarkStart w:id="672" w:name="ref-prakashNEMSEER2023"/>
    <w:p>
      <w:pPr>
        <w:pStyle w:val="Bibliography"/>
      </w:pPr>
      <w:r>
        <w:t xml:space="preserve">Prakash, A., 2023.</w:t>
      </w:r>
      <w:r>
        <w:t xml:space="preserve"> </w:t>
      </w:r>
      <w:hyperlink r:id="rId671">
        <w:r>
          <w:rPr>
            <w:rStyle w:val="Hyperlink"/>
          </w:rPr>
          <w:t xml:space="preserve">NEMSEER</w:t>
        </w:r>
      </w:hyperlink>
      <w:r>
        <w:t xml:space="preserve">.</w:t>
      </w:r>
    </w:p>
    <w:bookmarkEnd w:id="672"/>
    <w:bookmarkStart w:id="674"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673">
        <w:r>
          <w:rPr>
            <w:rStyle w:val="Hyperlink"/>
          </w:rPr>
          <w:t xml:space="preserve">https://doi.org/10.1016/j.rser.2022.112303</w:t>
        </w:r>
      </w:hyperlink>
    </w:p>
    <w:bookmarkEnd w:id="674"/>
    <w:bookmarkStart w:id="676"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675">
        <w:r>
          <w:rPr>
            <w:rStyle w:val="Hyperlink"/>
          </w:rPr>
          <w:t xml:space="preserve">https://doi.org/10.13140/RG.2.2.11620.50560</w:t>
        </w:r>
      </w:hyperlink>
    </w:p>
    <w:bookmarkEnd w:id="676"/>
    <w:bookmarkStart w:id="677"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677"/>
    <w:bookmarkStart w:id="679"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678">
        <w:r>
          <w:rPr>
            <w:rStyle w:val="Hyperlink"/>
          </w:rPr>
          <w:t xml:space="preserve">https://doi.org/10.1109/tpwrs.2006.888965</w:t>
        </w:r>
      </w:hyperlink>
    </w:p>
    <w:bookmarkEnd w:id="679"/>
    <w:bookmarkStart w:id="681"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680">
        <w:r>
          <w:rPr>
            <w:rStyle w:val="Hyperlink"/>
          </w:rPr>
          <w:t xml:space="preserve">https://doi.org/10.1109/tpwrs.2006.888963</w:t>
        </w:r>
      </w:hyperlink>
    </w:p>
    <w:bookmarkEnd w:id="681"/>
    <w:bookmarkStart w:id="683"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682">
        <w:r>
          <w:rPr>
            <w:rStyle w:val="Hyperlink"/>
          </w:rPr>
          <w:t xml:space="preserve">https://doi.org/10.1016/j.tej.2007.06.003</w:t>
        </w:r>
      </w:hyperlink>
    </w:p>
    <w:bookmarkEnd w:id="683"/>
    <w:bookmarkStart w:id="685" w:name="X89f15ff5920cde4fed5687ce100c6aeeedd900c"/>
    <w:p>
      <w:pPr>
        <w:pStyle w:val="Bibliography"/>
      </w:pPr>
      <w:r>
        <w:t xml:space="preserve">Redefining Resource Adequacy Task Force, 2021.</w:t>
      </w:r>
      <w:r>
        <w:t xml:space="preserve"> </w:t>
      </w:r>
      <w:hyperlink r:id="rId684">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685"/>
    <w:bookmarkStart w:id="686"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686"/>
    <w:bookmarkStart w:id="688" w:name="X7bf77d71136be2ef42a3439ae3ea29b9ec6613b"/>
    <w:p>
      <w:pPr>
        <w:pStyle w:val="Bibliography"/>
      </w:pPr>
      <w:r>
        <w:t xml:space="preserve">Renewable Energy Hub, 2021.</w:t>
      </w:r>
      <w:r>
        <w:t xml:space="preserve"> </w:t>
      </w:r>
      <w:hyperlink r:id="rId687">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688"/>
    <w:bookmarkStart w:id="690"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689">
        <w:r>
          <w:rPr>
            <w:rStyle w:val="Hyperlink"/>
          </w:rPr>
          <w:t xml:space="preserve">https://doi.org/10.5547/2160-5890.5.1.jrie</w:t>
        </w:r>
      </w:hyperlink>
    </w:p>
    <w:bookmarkEnd w:id="690"/>
    <w:bookmarkStart w:id="692"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691">
        <w:r>
          <w:rPr>
            <w:rStyle w:val="Hyperlink"/>
          </w:rPr>
          <w:t xml:space="preserve">https://doi.org/10.1016/j.tej.2015.03.006</w:t>
        </w:r>
      </w:hyperlink>
    </w:p>
    <w:bookmarkEnd w:id="692"/>
    <w:bookmarkStart w:id="694"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693">
        <w:r>
          <w:rPr>
            <w:rStyle w:val="Hyperlink"/>
          </w:rPr>
          <w:t xml:space="preserve">https://doi.org/10.1002/wene.137</w:t>
        </w:r>
      </w:hyperlink>
    </w:p>
    <w:bookmarkEnd w:id="694"/>
    <w:bookmarkStart w:id="695" w:name="ref-robertsReviewInternationalGrid2018"/>
    <w:p>
      <w:pPr>
        <w:pStyle w:val="Bibliography"/>
      </w:pPr>
      <w:r>
        <w:t xml:space="preserve">Roberts, C., 2018. Review of</w:t>
      </w:r>
      <w:r>
        <w:t xml:space="preserve"> </w:t>
      </w:r>
      <w:r>
        <w:t xml:space="preserve">International Grid Codes</w:t>
      </w:r>
      <w:r>
        <w:t xml:space="preserve">.</w:t>
      </w:r>
    </w:p>
    <w:bookmarkEnd w:id="695"/>
    <w:bookmarkStart w:id="697" w:name="ref-robertsVPPUserResearch2020"/>
    <w:p>
      <w:pPr>
        <w:pStyle w:val="Bibliography"/>
      </w:pPr>
      <w:r>
        <w:t xml:space="preserve">Roberts, M., Adams, S., Kuch, D., 2020.</w:t>
      </w:r>
      <w:r>
        <w:t xml:space="preserve"> </w:t>
      </w:r>
      <w:hyperlink r:id="rId696">
        <w:r>
          <w:rPr>
            <w:rStyle w:val="Hyperlink"/>
          </w:rPr>
          <w:t xml:space="preserve">VPP User Research Final Report</w:t>
        </w:r>
      </w:hyperlink>
      <w:r>
        <w:t xml:space="preserve">.</w:t>
      </w:r>
      <w:r>
        <w:t xml:space="preserve"> </w:t>
      </w:r>
      <w:r>
        <w:t xml:space="preserve">Solar Analytics, UNSW Sydney, UsersTCP</w:t>
      </w:r>
      <w:r>
        <w:t xml:space="preserve">.</w:t>
      </w:r>
    </w:p>
    <w:bookmarkEnd w:id="697"/>
    <w:bookmarkStart w:id="698"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698"/>
    <w:bookmarkStart w:id="700"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699">
        <w:r>
          <w:rPr>
            <w:rStyle w:val="Hyperlink"/>
          </w:rPr>
          <w:t xml:space="preserve">https://doi.org/10.1016/j.jup.2008.01.008</w:t>
        </w:r>
      </w:hyperlink>
    </w:p>
    <w:bookmarkEnd w:id="700"/>
    <w:bookmarkStart w:id="702"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701">
        <w:r>
          <w:rPr>
            <w:rStyle w:val="Hyperlink"/>
          </w:rPr>
          <w:t xml:space="preserve">https://doi.org/10.1016/j.enpol.2017.02.035</w:t>
        </w:r>
      </w:hyperlink>
    </w:p>
    <w:bookmarkEnd w:id="702"/>
    <w:bookmarkStart w:id="704"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703">
        <w:r>
          <w:rPr>
            <w:rStyle w:val="Hyperlink"/>
          </w:rPr>
          <w:t xml:space="preserve">https://doi.org/10.1109/hicss.2014.304</w:t>
        </w:r>
      </w:hyperlink>
    </w:p>
    <w:bookmarkEnd w:id="704"/>
    <w:bookmarkStart w:id="706"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705">
        <w:r>
          <w:rPr>
            <w:rStyle w:val="Hyperlink"/>
          </w:rPr>
          <w:t xml:space="preserve">https://doi.org/10.3929/ethz-a-010692129</w:t>
        </w:r>
      </w:hyperlink>
    </w:p>
    <w:bookmarkEnd w:id="706"/>
    <w:bookmarkStart w:id="708"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707">
        <w:r>
          <w:rPr>
            <w:rStyle w:val="Hyperlink"/>
          </w:rPr>
          <w:t xml:space="preserve">https://doi.org/10.1016/j.enpol.2013.07.030</w:t>
        </w:r>
      </w:hyperlink>
    </w:p>
    <w:bookmarkEnd w:id="708"/>
    <w:bookmarkStart w:id="71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709">
        <w:r>
          <w:rPr>
            <w:rStyle w:val="Hyperlink"/>
          </w:rPr>
          <w:t xml:space="preserve">https://doi.org/10.13140/RG.2.2.30173.69601</w:t>
        </w:r>
      </w:hyperlink>
    </w:p>
    <w:bookmarkEnd w:id="710"/>
    <w:bookmarkStart w:id="711"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711"/>
    <w:bookmarkStart w:id="713"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712">
        <w:r>
          <w:rPr>
            <w:rStyle w:val="Hyperlink"/>
          </w:rPr>
          <w:t xml:space="preserve">https://doi.org/10.1016/j.rser.2022.112228</w:t>
        </w:r>
      </w:hyperlink>
    </w:p>
    <w:bookmarkEnd w:id="713"/>
    <w:bookmarkStart w:id="714"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714"/>
    <w:bookmarkStart w:id="716"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715">
        <w:r>
          <w:rPr>
            <w:rStyle w:val="Hyperlink"/>
          </w:rPr>
          <w:t xml:space="preserve">https://doi.org/10.1016/j.jup.2005.12.002</w:t>
        </w:r>
      </w:hyperlink>
    </w:p>
    <w:bookmarkEnd w:id="716"/>
    <w:bookmarkStart w:id="717"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717"/>
    <w:bookmarkStart w:id="719"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718">
        <w:r>
          <w:rPr>
            <w:rStyle w:val="Hyperlink"/>
          </w:rPr>
          <w:t xml:space="preserve">https://doi.org/10.1016/j.tej.2020.106837</w:t>
        </w:r>
      </w:hyperlink>
    </w:p>
    <w:bookmarkEnd w:id="719"/>
    <w:bookmarkStart w:id="721"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720">
        <w:r>
          <w:rPr>
            <w:rStyle w:val="Hyperlink"/>
          </w:rPr>
          <w:t xml:space="preserve">https://doi.org/10.1109/mpe.2021.3104076</w:t>
        </w:r>
      </w:hyperlink>
    </w:p>
    <w:bookmarkEnd w:id="721"/>
    <w:bookmarkStart w:id="723"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722">
        <w:r>
          <w:rPr>
            <w:rStyle w:val="Hyperlink"/>
          </w:rPr>
          <w:t xml:space="preserve">https://doi.org/10.1109/mpe.2020.3014720</w:t>
        </w:r>
      </w:hyperlink>
    </w:p>
    <w:bookmarkEnd w:id="723"/>
    <w:bookmarkStart w:id="725"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724">
        <w:r>
          <w:rPr>
            <w:rStyle w:val="Hyperlink"/>
          </w:rPr>
          <w:t xml:space="preserve">https://doi.org/10.1016/j.tej.2021.106934</w:t>
        </w:r>
      </w:hyperlink>
    </w:p>
    <w:bookmarkEnd w:id="725"/>
    <w:bookmarkStart w:id="727"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726">
        <w:r>
          <w:rPr>
            <w:rStyle w:val="Hyperlink"/>
          </w:rPr>
          <w:t xml:space="preserve">https://doi.org/10.1109/pes.2007.385855</w:t>
        </w:r>
      </w:hyperlink>
    </w:p>
    <w:bookmarkEnd w:id="727"/>
    <w:bookmarkStart w:id="729"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728">
        <w:r>
          <w:rPr>
            <w:rStyle w:val="Hyperlink"/>
          </w:rPr>
          <w:t xml:space="preserve">https://doi.org/10.1260/030952408784305868</w:t>
        </w:r>
      </w:hyperlink>
    </w:p>
    <w:bookmarkEnd w:id="729"/>
    <w:bookmarkStart w:id="731" w:name="ref-tielensRelevanceInertiaPower2016"/>
    <w:p>
      <w:pPr>
        <w:pStyle w:val="Bibliography"/>
      </w:pPr>
      <w:r>
        <w:t xml:space="preserve">Tielens, P., Van Hertem, D., 2016. The relevance of inertia in power systems. Renewable and Sustainable Energy Reviews 55, 999–1009.</w:t>
      </w:r>
      <w:r>
        <w:t xml:space="preserve"> </w:t>
      </w:r>
      <w:hyperlink r:id="rId730">
        <w:r>
          <w:rPr>
            <w:rStyle w:val="Hyperlink"/>
          </w:rPr>
          <w:t xml:space="preserve">https://doi.org/10.1016/j.rser.2015.11.016</w:t>
        </w:r>
      </w:hyperlink>
    </w:p>
    <w:bookmarkEnd w:id="731"/>
    <w:bookmarkStart w:id="733"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732">
        <w:r>
          <w:rPr>
            <w:rStyle w:val="Hyperlink"/>
          </w:rPr>
          <w:t xml:space="preserve">https://doi.org/10.1016/j.ijepes.2015.02.028</w:t>
        </w:r>
      </w:hyperlink>
    </w:p>
    <w:bookmarkEnd w:id="733"/>
    <w:bookmarkStart w:id="735"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734">
        <w:r>
          <w:rPr>
            <w:rStyle w:val="Hyperlink"/>
          </w:rPr>
          <w:t xml:space="preserve">https://doi.org/10.3182/20140824-6-za-1003.02615</w:t>
        </w:r>
      </w:hyperlink>
    </w:p>
    <w:bookmarkEnd w:id="735"/>
    <w:bookmarkStart w:id="737"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736">
        <w:r>
          <w:rPr>
            <w:rStyle w:val="Hyperlink"/>
          </w:rPr>
          <w:t xml:space="preserve">https://doi.org/10.1016/j.jup.2016.10.008</w:t>
        </w:r>
      </w:hyperlink>
    </w:p>
    <w:bookmarkEnd w:id="737"/>
    <w:bookmarkStart w:id="739"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738">
        <w:r>
          <w:rPr>
            <w:rStyle w:val="Hyperlink"/>
          </w:rPr>
          <w:t xml:space="preserve">https://doi.org/10.1016/j.enpol.2009.07.034</w:t>
        </w:r>
      </w:hyperlink>
    </w:p>
    <w:bookmarkEnd w:id="739"/>
    <w:bookmarkStart w:id="741"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740">
        <w:r>
          <w:rPr>
            <w:rStyle w:val="Hyperlink"/>
          </w:rPr>
          <w:t xml:space="preserve">https://doi.org/10.1016/j.apenergy.2017.08.164</w:t>
        </w:r>
      </w:hyperlink>
    </w:p>
    <w:bookmarkEnd w:id="741"/>
    <w:bookmarkStart w:id="743" w:name="X2b00c878694ff3ec7397269e6cb0693693dd5ff"/>
    <w:p>
      <w:pPr>
        <w:pStyle w:val="Bibliography"/>
      </w:pPr>
      <w:r>
        <w:t xml:space="preserve">Wilson, S., 2020.</w:t>
      </w:r>
      <w:r>
        <w:t xml:space="preserve"> </w:t>
      </w:r>
      <w:hyperlink r:id="rId742">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743"/>
    <w:bookmarkStart w:id="744"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744"/>
    <w:bookmarkStart w:id="746"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745">
        <w:r>
          <w:rPr>
            <w:rStyle w:val="Hyperlink"/>
          </w:rPr>
          <w:t xml:space="preserve">https://doi.org/10.1109/tpwrs.2015.2390038</w:t>
        </w:r>
      </w:hyperlink>
    </w:p>
    <w:bookmarkEnd w:id="746"/>
    <w:bookmarkStart w:id="747"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747"/>
    <w:bookmarkEnd w:id="748"/>
    <w:bookmarkEnd w:id="7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55">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5">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8">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33">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41">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51">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2020h</w:t>
        </w:r>
      </w:hyperlink>
      <w:r>
        <w:t xml:space="preserve">)</w:t>
      </w:r>
      <w:r>
        <w:t xml:space="preserve">.</w:t>
      </w:r>
    </w:p>
  </w:footnote>
  <w:footnote w:id="156">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71">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183">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188">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6">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7">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8">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33">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4">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w:t>
        </w:r>
      </w:hyperlink>
      <w:r>
        <w:t xml:space="preserve">)</w:t>
      </w:r>
      <w:r>
        <w:t xml:space="preserve">.</w:t>
      </w:r>
    </w:p>
  </w:footnote>
  <w:footnote w:id="236">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52">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5">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69">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279">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137" Target="media/rId137.png" /><Relationship Type="http://schemas.openxmlformats.org/officeDocument/2006/relationships/image" Id="rId157" Target="media/rId157.eps" /><Relationship Type="http://schemas.openxmlformats.org/officeDocument/2006/relationships/image" Id="rId270" Target="media/rId270.png" /><Relationship Type="http://schemas.openxmlformats.org/officeDocument/2006/relationships/image" Id="rId70" Target="media/rId70.png" /><Relationship Type="http://schemas.openxmlformats.org/officeDocument/2006/relationships/image" Id="rId30" Target="media/rId30.pdf" /><Relationship Type="http://schemas.openxmlformats.org/officeDocument/2006/relationships/image" Id="rId165" Target="media/rId165.png" /><Relationship Type="http://schemas.openxmlformats.org/officeDocument/2006/relationships/image" Id="rId172" Target="media/rId172.png" /><Relationship Type="http://schemas.openxmlformats.org/officeDocument/2006/relationships/image" Id="rId65" Target="media/rId65.png" /><Relationship Type="http://schemas.openxmlformats.org/officeDocument/2006/relationships/image" Id="rId103" Target="media/rId103.png" /><Relationship Type="http://schemas.openxmlformats.org/officeDocument/2006/relationships/image" Id="rId56" Target="media/rId56.png" /><Relationship Type="http://schemas.openxmlformats.org/officeDocument/2006/relationships/image" Id="rId229" Target="media/rId229.png" /><Relationship Type="http://schemas.openxmlformats.org/officeDocument/2006/relationships/image" Id="rId168" Target="media/rId168.eps" /><Relationship Type="http://schemas.openxmlformats.org/officeDocument/2006/relationships/image" Id="rId219" Target="media/rId219.png" /><Relationship Type="http://schemas.openxmlformats.org/officeDocument/2006/relationships/image" Id="rId36" Target="media/rId36.pdf" /><Relationship Type="http://schemas.openxmlformats.org/officeDocument/2006/relationships/image" Id="rId190" Target="media/rId190.png" /><Relationship Type="http://schemas.openxmlformats.org/officeDocument/2006/relationships/image" Id="rId161" Target="media/rId161.eps" /><Relationship Type="http://schemas.openxmlformats.org/officeDocument/2006/relationships/image" Id="rId223" Target="media/rId223.png" /><Relationship Type="http://schemas.openxmlformats.org/officeDocument/2006/relationships/image" Id="rId42" Target="media/rId42.png" /><Relationship Type="http://schemas.openxmlformats.org/officeDocument/2006/relationships/image" Id="rId145" Target="media/rId145.eps" /><Relationship Type="http://schemas.openxmlformats.org/officeDocument/2006/relationships/hyperlink" Id="rId303" Target="http://www.aemc.gov.au/energy-system/electricity/electricity-system/electricity-supply-chain" TargetMode="External" /><Relationship Type="http://schemas.openxmlformats.org/officeDocument/2006/relationships/hyperlink" Id="rId342" Target="https://aemo.com.au/-/media/files/electricity/nem/market_notices_and_events/market_event_reports/2022/nem-market-suspension-and-operational-challenges-in-june-2022.pdf?la=en" TargetMode="External" /><Relationship Type="http://schemas.openxmlformats.org/officeDocument/2006/relationships/hyperlink" Id="rId369" Target="https://aemo.com.au/-/media/files/electricity/nem/planning_and_forecasting/inputs-assumptions-methodologies/2020/2020-inputs-and-assumptions-workbook-dec20.xlsx?la=en" TargetMode="External" /><Relationship Type="http://schemas.openxmlformats.org/officeDocument/2006/relationships/hyperlink" Id="rId383" Target="https://aemo.com.au/-/media/files/electricity/nem/planning_and_forecasting/rsig/reliability-standard-implementation-guidelines.pdf?la=en" TargetMode="External" /><Relationship Type="http://schemas.openxmlformats.org/officeDocument/2006/relationships/hyperlink" Id="rId353" Target="https://aemo.com.au/-/media/files/electricity/nem/security_and_reliability/dispatch/policy_and_process/fast-start-unit-inflexibility-profile.pdf" TargetMode="External" /><Relationship Type="http://schemas.openxmlformats.org/officeDocument/2006/relationships/hyperlink" Id="rId366" Target="https://aemo.com.au/-/media/files/electricity/nem/security_and_reliability/power_system_ops/procedures/so_op_3703-short-term-reserve-management.pdf?la=en" TargetMode="External" /><Relationship Type="http://schemas.openxmlformats.org/officeDocument/2006/relationships/hyperlink" Id="rId373" Target="https://aemo.com.au/-/media/files/major-publications/isp/2020/final-2020-isp-generation-outlook.zip?la=en" TargetMode="External" /><Relationship Type="http://schemas.openxmlformats.org/officeDocument/2006/relationships/hyperlink" Id="rId336" Target="https://aemo.com.au/-/media/files/major-publications/isp/2022/2022-documents/2022-integrated-system-plan-isp.pdf?la=en" TargetMode="External" /><Relationship Type="http://schemas.openxmlformats.org/officeDocument/2006/relationships/hyperlink" Id="rId348" Target="https://aemo.com.au/en/initiatives/major-programs/nem-distributed-energy-resources-der-program/operations/der-behaviour-during-disturbances" TargetMode="External" /><Relationship Type="http://schemas.openxmlformats.org/officeDocument/2006/relationships/hyperlink" Id="rId332" Target="https://aemo.com.au/energy-systems/electricity/national-electricity-market-nem/data-nem/market-management-system-mms-data/pre-dispatch" TargetMode="External" /><Relationship Type="http://schemas.openxmlformats.org/officeDocument/2006/relationships/hyperlink" Id="rId340" Target="https://aemo.com.au/energy-systems/electricity/national-electricity-market-nem/nem-forecasting-and-planning/forecasting-and-planning-data/generation-information" TargetMode="External" /><Relationship Type="http://schemas.openxmlformats.org/officeDocument/2006/relationships/hyperlink" Id="rId371" Target="https://aemo.com.au/energy-systems/major-publications/integrated-system-plan-isp/2020-integrated-system-plan-isp" TargetMode="External" /><Relationship Type="http://schemas.openxmlformats.org/officeDocument/2006/relationships/hyperlink" Id="rId391" Target="https://aemo.com.au/energy-systems/major-publications/integrated-system-plan-isp/2020-integrated-system-plan-isp/2019-isp-database" TargetMode="External" /><Relationship Type="http://schemas.openxmlformats.org/officeDocument/2006/relationships/hyperlink" Id="rId338" Target="https://aemo.com.au/initiatives/major-programs/past-major-programs/five-minute-settlement/5ms-program-management/5ms-commencement" TargetMode="External" /><Relationship Type="http://schemas.openxmlformats.org/officeDocument/2006/relationships/hyperlink" Id="rId334" Target="https://aemo.com.au/learn/energy-explained/energy-101/industry-overview" TargetMode="External" /><Relationship Type="http://schemas.openxmlformats.org/officeDocument/2006/relationships/hyperlink" Id="rId687" Target="https://arena.gov.au/assets/2021/04/renewable-energy-hub-final-report.pdf" TargetMode="External" /><Relationship Type="http://schemas.openxmlformats.org/officeDocument/2006/relationships/hyperlink" Id="rId299" Target="https://arena.gov.au/knowledge-bank/large-scale-battery-storage-knowledge-sharing-report/" TargetMode="External" /><Relationship Type="http://schemas.openxmlformats.org/officeDocument/2006/relationships/hyperlink" Id="rId580" Target="https://doi.org/10.1002/0470020598" TargetMode="External" /><Relationship Type="http://schemas.openxmlformats.org/officeDocument/2006/relationships/hyperlink" Id="rId616" Target="https://doi.org/10.1002/0471668826" TargetMode="External" /><Relationship Type="http://schemas.openxmlformats.org/officeDocument/2006/relationships/hyperlink" Id="rId535" Target="https://doi.org/10.1002/2050-7038.12128" TargetMode="External" /><Relationship Type="http://schemas.openxmlformats.org/officeDocument/2006/relationships/hyperlink" Id="rId425" Target="https://doi.org/10.1002/9780470754245" TargetMode="External" /><Relationship Type="http://schemas.openxmlformats.org/officeDocument/2006/relationships/hyperlink" Id="rId693" Target="https://doi.org/10.1002/wene.137" TargetMode="External" /><Relationship Type="http://schemas.openxmlformats.org/officeDocument/2006/relationships/hyperlink" Id="rId624" Target="https://doi.org/10.1002/wene.399" TargetMode="External" /><Relationship Type="http://schemas.openxmlformats.org/officeDocument/2006/relationships/hyperlink" Id="rId473" Target="https://doi.org/10.1007/s11149-021-09430-7" TargetMode="External" /><Relationship Type="http://schemas.openxmlformats.org/officeDocument/2006/relationships/hyperlink" Id="rId611" Target="https://doi.org/10.1016/B978-0-12-397891-2.00020-1" TargetMode="External" /><Relationship Type="http://schemas.openxmlformats.org/officeDocument/2006/relationships/hyperlink" Id="rId740" Target="https://doi.org/10.1016/j.apenergy.2017.08.164" TargetMode="External" /><Relationship Type="http://schemas.openxmlformats.org/officeDocument/2006/relationships/hyperlink" Id="rId539" Target="https://doi.org/10.1016/j.apenergy.2020.115852" TargetMode="External" /><Relationship Type="http://schemas.openxmlformats.org/officeDocument/2006/relationships/hyperlink" Id="rId654" Target="https://doi.org/10.1016/j.eneco.2018.05.003" TargetMode="External" /><Relationship Type="http://schemas.openxmlformats.org/officeDocument/2006/relationships/hyperlink" Id="rId569" Target="https://doi.org/10.1016/j.enpol.2008.06.033" TargetMode="External" /><Relationship Type="http://schemas.openxmlformats.org/officeDocument/2006/relationships/hyperlink" Id="rId738" Target="https://doi.org/10.1016/j.enpol.2009.07.034" TargetMode="External" /><Relationship Type="http://schemas.openxmlformats.org/officeDocument/2006/relationships/hyperlink" Id="rId707" Target="https://doi.org/10.1016/j.enpol.2013.07.030" TargetMode="External" /><Relationship Type="http://schemas.openxmlformats.org/officeDocument/2006/relationships/hyperlink" Id="rId701" Target="https://doi.org/10.1016/j.enpol.2017.02.035" TargetMode="External" /><Relationship Type="http://schemas.openxmlformats.org/officeDocument/2006/relationships/hyperlink" Id="rId463" Target="https://doi.org/10.1016/j.enpol.2018.01.023" TargetMode="External" /><Relationship Type="http://schemas.openxmlformats.org/officeDocument/2006/relationships/hyperlink" Id="rId457" Target="https://doi.org/10.1016/j.enpol.2018.09.031" TargetMode="External" /><Relationship Type="http://schemas.openxmlformats.org/officeDocument/2006/relationships/hyperlink" Id="rId669" Target="https://doi.org/10.1016/j.enpol.2018.11.009" TargetMode="External" /><Relationship Type="http://schemas.openxmlformats.org/officeDocument/2006/relationships/hyperlink" Id="rId446" Target="https://doi.org/10.1016/j.enpol.2018.12.052" TargetMode="External" /><Relationship Type="http://schemas.openxmlformats.org/officeDocument/2006/relationships/hyperlink" Id="rId605" Target="https://doi.org/10.1016/j.enpol.2020.111739" TargetMode="External" /><Relationship Type="http://schemas.openxmlformats.org/officeDocument/2006/relationships/hyperlink" Id="rId620" Target="https://doi.org/10.1016/j.enpol.2020.112010" TargetMode="External" /><Relationship Type="http://schemas.openxmlformats.org/officeDocument/2006/relationships/hyperlink" Id="rId517" Target="https://doi.org/10.1016/j.enpol.2021.112443" TargetMode="External" /><Relationship Type="http://schemas.openxmlformats.org/officeDocument/2006/relationships/hyperlink" Id="rId461" Target="https://doi.org/10.1016/j.epsr.2021.107022" TargetMode="External" /><Relationship Type="http://schemas.openxmlformats.org/officeDocument/2006/relationships/hyperlink" Id="rId291" Target="https://doi.org/10.1016/j.esr.2022.100812" TargetMode="External" /><Relationship Type="http://schemas.openxmlformats.org/officeDocument/2006/relationships/hyperlink" Id="rId638" Target="https://doi.org/10.1016/j.ijepes.2013.09.020" TargetMode="External" /><Relationship Type="http://schemas.openxmlformats.org/officeDocument/2006/relationships/hyperlink" Id="rId732" Target="https://doi.org/10.1016/j.ijepes.2015.02.028" TargetMode="External" /><Relationship Type="http://schemas.openxmlformats.org/officeDocument/2006/relationships/hyperlink" Id="rId519" Target="https://doi.org/10.1016/j.joule.2021.03.021" TargetMode="External" /><Relationship Type="http://schemas.openxmlformats.org/officeDocument/2006/relationships/hyperlink" Id="rId622" Target="https://doi.org/10.1016/j.joule.2022.01.004" TargetMode="External" /><Relationship Type="http://schemas.openxmlformats.org/officeDocument/2006/relationships/hyperlink" Id="rId715" Target="https://doi.org/10.1016/j.jup.2005.12.002" TargetMode="External" /><Relationship Type="http://schemas.openxmlformats.org/officeDocument/2006/relationships/hyperlink" Id="rId699" Target="https://doi.org/10.1016/j.jup.2008.01.008" TargetMode="External" /><Relationship Type="http://schemas.openxmlformats.org/officeDocument/2006/relationships/hyperlink" Id="rId736" Target="https://doi.org/10.1016/j.jup.2016.10.008" TargetMode="External" /><Relationship Type="http://schemas.openxmlformats.org/officeDocument/2006/relationships/hyperlink" Id="rId662" Target="https://doi.org/10.1016/j.renene.2018.04.094" TargetMode="External" /><Relationship Type="http://schemas.openxmlformats.org/officeDocument/2006/relationships/hyperlink" Id="rId574" Target="https://doi.org/10.1016/j.renene.2020.11.090" TargetMode="External" /><Relationship Type="http://schemas.openxmlformats.org/officeDocument/2006/relationships/hyperlink" Id="rId544" Target="https://doi.org/10.1016/j.rser.2015.04.180" TargetMode="External" /><Relationship Type="http://schemas.openxmlformats.org/officeDocument/2006/relationships/hyperlink" Id="rId730" Target="https://doi.org/10.1016/j.rser.2015.11.016" TargetMode="External" /><Relationship Type="http://schemas.openxmlformats.org/officeDocument/2006/relationships/hyperlink" Id="rId652" Target="https://doi.org/10.1016/j.rser.2016.09.040" TargetMode="External" /><Relationship Type="http://schemas.openxmlformats.org/officeDocument/2006/relationships/hyperlink" Id="rId526" Target="https://doi.org/10.1016/j.rser.2017.05.278" TargetMode="External" /><Relationship Type="http://schemas.openxmlformats.org/officeDocument/2006/relationships/hyperlink" Id="rId427" Target="https://doi.org/10.1016/j.rser.2018.03.085" TargetMode="External" /><Relationship Type="http://schemas.openxmlformats.org/officeDocument/2006/relationships/hyperlink" Id="rId515" Target="https://doi.org/10.1016/j.rser.2019.109662" TargetMode="External" /><Relationship Type="http://schemas.openxmlformats.org/officeDocument/2006/relationships/hyperlink" Id="rId590" Target="https://doi.org/10.1016/j.rser.2020.110467" TargetMode="External" /><Relationship Type="http://schemas.openxmlformats.org/officeDocument/2006/relationships/hyperlink" Id="rId712" Target="https://doi.org/10.1016/j.rser.2022.112228" TargetMode="External" /><Relationship Type="http://schemas.openxmlformats.org/officeDocument/2006/relationships/hyperlink" Id="rId673" Target="https://doi.org/10.1016/j.rser.2022.112303" TargetMode="External" /><Relationship Type="http://schemas.openxmlformats.org/officeDocument/2006/relationships/hyperlink" Id="rId455" Target="https://doi.org/10.1016/j.seta.2021.101286" TargetMode="External" /><Relationship Type="http://schemas.openxmlformats.org/officeDocument/2006/relationships/hyperlink" Id="rId576" Target="https://doi.org/10.1016/j.solener.2020.05.053" TargetMode="External" /><Relationship Type="http://schemas.openxmlformats.org/officeDocument/2006/relationships/hyperlink" Id="rId559" Target="https://doi.org/10.1016/j.tej.2004.03.001" TargetMode="External" /><Relationship Type="http://schemas.openxmlformats.org/officeDocument/2006/relationships/hyperlink" Id="rId571" Target="https://doi.org/10.1016/j.tej.2006.09.010" TargetMode="External" /><Relationship Type="http://schemas.openxmlformats.org/officeDocument/2006/relationships/hyperlink" Id="rId682" Target="https://doi.org/10.1016/j.tej.2007.06.003" TargetMode="External" /><Relationship Type="http://schemas.openxmlformats.org/officeDocument/2006/relationships/hyperlink" Id="rId631" Target="https://doi.org/10.1016/j.tej.2011.10.011" TargetMode="External" /><Relationship Type="http://schemas.openxmlformats.org/officeDocument/2006/relationships/hyperlink" Id="rId487" Target="https://doi.org/10.1016/j.tej.2012.04.015" TargetMode="External" /><Relationship Type="http://schemas.openxmlformats.org/officeDocument/2006/relationships/hyperlink" Id="rId442" Target="https://doi.org/10.1016/j.tej.2013.05.004" TargetMode="External" /><Relationship Type="http://schemas.openxmlformats.org/officeDocument/2006/relationships/hyperlink" Id="rId691" Target="https://doi.org/10.1016/j.tej.2015.03.006" TargetMode="External" /><Relationship Type="http://schemas.openxmlformats.org/officeDocument/2006/relationships/hyperlink" Id="rId479" Target="https://doi.org/10.1016/j.tej.2016.05.001" TargetMode="External" /><Relationship Type="http://schemas.openxmlformats.org/officeDocument/2006/relationships/hyperlink" Id="rId556" Target="https://doi.org/10.1016/j.tej.2017.01.009" TargetMode="External" /><Relationship Type="http://schemas.openxmlformats.org/officeDocument/2006/relationships/hyperlink" Id="rId658" Target="https://doi.org/10.1016/j.tej.2018.05.012" TargetMode="External" /><Relationship Type="http://schemas.openxmlformats.org/officeDocument/2006/relationships/hyperlink" Id="rId439" Target="https://doi.org/10.1016/j.tej.2019.106668" TargetMode="External" /><Relationship Type="http://schemas.openxmlformats.org/officeDocument/2006/relationships/hyperlink" Id="rId609" Target="https://doi.org/10.1016/j.tej.2020.106831" TargetMode="External" /><Relationship Type="http://schemas.openxmlformats.org/officeDocument/2006/relationships/hyperlink" Id="rId718" Target="https://doi.org/10.1016/j.tej.2020.106837" TargetMode="External" /><Relationship Type="http://schemas.openxmlformats.org/officeDocument/2006/relationships/hyperlink" Id="rId664" Target="https://doi.org/10.1016/j.tej.2020.106863" TargetMode="External" /><Relationship Type="http://schemas.openxmlformats.org/officeDocument/2006/relationships/hyperlink" Id="rId724" Target="https://doi.org/10.1016/j.tej.2021.106934" TargetMode="External" /><Relationship Type="http://schemas.openxmlformats.org/officeDocument/2006/relationships/hyperlink" Id="rId469" Target="https://doi.org/10.1049/iet-gtd.2013.0720" TargetMode="External" /><Relationship Type="http://schemas.openxmlformats.org/officeDocument/2006/relationships/hyperlink" Id="rId503" Target="https://doi.org/10.1049/iet-rpg.2017.0370" TargetMode="External" /><Relationship Type="http://schemas.openxmlformats.org/officeDocument/2006/relationships/hyperlink" Id="rId533" Target="https://doi.org/10.1080/23251042.2016.1155690" TargetMode="External" /><Relationship Type="http://schemas.openxmlformats.org/officeDocument/2006/relationships/hyperlink" Id="rId459" Target="https://doi.org/10.1093/ooenergy/oiab007" TargetMode="External" /><Relationship Type="http://schemas.openxmlformats.org/officeDocument/2006/relationships/hyperlink" Id="rId453" Target="https://doi.org/10.1093/oxrep/grx041" TargetMode="External" /><Relationship Type="http://schemas.openxmlformats.org/officeDocument/2006/relationships/hyperlink" Id="rId582" Target="https://doi.org/10.1109/MPE.2016.2524964" TargetMode="External" /><Relationship Type="http://schemas.openxmlformats.org/officeDocument/2006/relationships/hyperlink" Id="rId603" Target="https://doi.org/10.1109/MPE.2021.3072819" TargetMode="External" /><Relationship Type="http://schemas.openxmlformats.org/officeDocument/2006/relationships/hyperlink" Id="rId471" Target="https://doi.org/10.1109/MPE.2021.3088958" TargetMode="External" /><Relationship Type="http://schemas.openxmlformats.org/officeDocument/2006/relationships/hyperlink" Id="rId660" Target="https://doi.org/10.1109/TPWRS.2013.2293127" TargetMode="External" /><Relationship Type="http://schemas.openxmlformats.org/officeDocument/2006/relationships/hyperlink" Id="rId431" Target="https://doi.org/10.1109/TPWRS.2019.2925557" TargetMode="External" /><Relationship Type="http://schemas.openxmlformats.org/officeDocument/2006/relationships/hyperlink" Id="rId451" Target="https://doi.org/10.1109/TPWRS.2022.3163106" TargetMode="External" /><Relationship Type="http://schemas.openxmlformats.org/officeDocument/2006/relationships/hyperlink" Id="rId429" Target="https://doi.org/10.1109/cigre.2005.1532720" TargetMode="External" /><Relationship Type="http://schemas.openxmlformats.org/officeDocument/2006/relationships/hyperlink" Id="rId650" Target="https://doi.org/10.1109/eem.2016.7521193" TargetMode="External" /><Relationship Type="http://schemas.openxmlformats.org/officeDocument/2006/relationships/hyperlink" Id="rId703" Target="https://doi.org/10.1109/hicss.2014.304" TargetMode="External" /><Relationship Type="http://schemas.openxmlformats.org/officeDocument/2006/relationships/hyperlink" Id="rId448" Target="https://doi.org/10.1109/jproc.2005.857493" TargetMode="External" /><Relationship Type="http://schemas.openxmlformats.org/officeDocument/2006/relationships/hyperlink" Id="rId584" Target="https://doi.org/10.1109/mpe.2016.2637122" TargetMode="External" /><Relationship Type="http://schemas.openxmlformats.org/officeDocument/2006/relationships/hyperlink" Id="rId435" Target="https://doi.org/10.1109/mpe.2017.2729079" TargetMode="External" /><Relationship Type="http://schemas.openxmlformats.org/officeDocument/2006/relationships/hyperlink" Id="rId546" Target="https://doi.org/10.1109/mpe.2018.2871736" TargetMode="External" /><Relationship Type="http://schemas.openxmlformats.org/officeDocument/2006/relationships/hyperlink" Id="rId485" Target="https://doi.org/10.1109/mpe.2019.2933281" TargetMode="External" /><Relationship Type="http://schemas.openxmlformats.org/officeDocument/2006/relationships/hyperlink" Id="rId722" Target="https://doi.org/10.1109/mpe.2020.3014720" TargetMode="External" /><Relationship Type="http://schemas.openxmlformats.org/officeDocument/2006/relationships/hyperlink" Id="rId483" Target="https://doi.org/10.1109/mpe.2020.3033396" TargetMode="External" /><Relationship Type="http://schemas.openxmlformats.org/officeDocument/2006/relationships/hyperlink" Id="rId614" Target="https://doi.org/10.1109/mpe.2020.3043570" TargetMode="External" /><Relationship Type="http://schemas.openxmlformats.org/officeDocument/2006/relationships/hyperlink" Id="rId592" Target="https://doi.org/10.1109/mpe.2021.3088959" TargetMode="External" /><Relationship Type="http://schemas.openxmlformats.org/officeDocument/2006/relationships/hyperlink" Id="rId618" Target="https://doi.org/10.1109/mpe.2021.3104075" TargetMode="External" /><Relationship Type="http://schemas.openxmlformats.org/officeDocument/2006/relationships/hyperlink" Id="rId720" Target="https://doi.org/10.1109/mpe.2021.3104076" TargetMode="External" /><Relationship Type="http://schemas.openxmlformats.org/officeDocument/2006/relationships/hyperlink" Id="rId726" Target="https://doi.org/10.1109/pes.2007.385855" TargetMode="External" /><Relationship Type="http://schemas.openxmlformats.org/officeDocument/2006/relationships/hyperlink" Id="rId477" Target="https://doi.org/10.1109/pesgm.2012.6345361" TargetMode="External" /><Relationship Type="http://schemas.openxmlformats.org/officeDocument/2006/relationships/hyperlink" Id="rId598" Target="https://doi.org/10.1109/pesgm.2012.6345375" TargetMode="External" /><Relationship Type="http://schemas.openxmlformats.org/officeDocument/2006/relationships/hyperlink" Id="rId607" Target="https://doi.org/10.1109/pesgm41954.2020.9282169" TargetMode="External" /><Relationship Type="http://schemas.openxmlformats.org/officeDocument/2006/relationships/hyperlink" Id="rId552" Target="https://doi.org/10.1109/pesmg.2013.6673067" TargetMode="External" /><Relationship Type="http://schemas.openxmlformats.org/officeDocument/2006/relationships/hyperlink" Id="rId656" Target="https://doi.org/10.1109/pmaps47429.2020.9183585" TargetMode="External" /><Relationship Type="http://schemas.openxmlformats.org/officeDocument/2006/relationships/hyperlink" Id="rId680" Target="https://doi.org/10.1109/tpwrs.2006.888963" TargetMode="External" /><Relationship Type="http://schemas.openxmlformats.org/officeDocument/2006/relationships/hyperlink" Id="rId678" Target="https://doi.org/10.1109/tpwrs.2006.888965" TargetMode="External" /><Relationship Type="http://schemas.openxmlformats.org/officeDocument/2006/relationships/hyperlink" Id="rId596" Target="https://doi.org/10.1109/tpwrs.2011.2177280" TargetMode="External" /><Relationship Type="http://schemas.openxmlformats.org/officeDocument/2006/relationships/hyperlink" Id="rId594" Target="https://doi.org/10.1109/tpwrs.2014.2321793" TargetMode="External" /><Relationship Type="http://schemas.openxmlformats.org/officeDocument/2006/relationships/hyperlink" Id="rId745" Target="https://doi.org/10.1109/tpwrs.2015.2390038" TargetMode="External" /><Relationship Type="http://schemas.openxmlformats.org/officeDocument/2006/relationships/hyperlink" Id="rId634" Target="https://doi.org/10.1109/tpwrs.2019.2897727" TargetMode="External" /><Relationship Type="http://schemas.openxmlformats.org/officeDocument/2006/relationships/hyperlink" Id="rId537" Target="https://doi.org/10.1109/tpwrs.2020.3041774" TargetMode="External" /><Relationship Type="http://schemas.openxmlformats.org/officeDocument/2006/relationships/hyperlink" Id="rId648" Target="https://doi.org/10.1109/tste.2015.2410760" TargetMode="External" /><Relationship Type="http://schemas.openxmlformats.org/officeDocument/2006/relationships/hyperlink" Id="rId728" Target="https://doi.org/10.1260/030952408784305868" TargetMode="External" /><Relationship Type="http://schemas.openxmlformats.org/officeDocument/2006/relationships/hyperlink" Id="rId675" Target="https://doi.org/10.13140/RG.2.2.11620.50560" TargetMode="External" /><Relationship Type="http://schemas.openxmlformats.org/officeDocument/2006/relationships/hyperlink" Id="rId709" Target="https://doi.org/10.13140/RG.2.2.30173.69601" TargetMode="External" /><Relationship Type="http://schemas.openxmlformats.org/officeDocument/2006/relationships/hyperlink" Id="rId531" Target="https://doi.org/10.17775/cseejpes.2019.00230" TargetMode="External" /><Relationship Type="http://schemas.openxmlformats.org/officeDocument/2006/relationships/hyperlink" Id="rId293" Target="https://doi.org/10.2139/ssrn.3302569" TargetMode="External" /><Relationship Type="http://schemas.openxmlformats.org/officeDocument/2006/relationships/hyperlink" Id="rId481" Target="https://doi.org/10.2172/1023095" TargetMode="External" /><Relationship Type="http://schemas.openxmlformats.org/officeDocument/2006/relationships/hyperlink" Id="rId588" Target="https://doi.org/10.2172/1046269" TargetMode="External" /><Relationship Type="http://schemas.openxmlformats.org/officeDocument/2006/relationships/hyperlink" Id="rId600" Target="https://doi.org/10.2172/1220243" TargetMode="External" /><Relationship Type="http://schemas.openxmlformats.org/officeDocument/2006/relationships/hyperlink" Id="rId626" Target="https://doi.org/10.23919/pscc.2018.8450880" TargetMode="External" /><Relationship Type="http://schemas.openxmlformats.org/officeDocument/2006/relationships/hyperlink" Id="rId433" Target="https://doi.org/10.26889/9781784671600" TargetMode="External" /><Relationship Type="http://schemas.openxmlformats.org/officeDocument/2006/relationships/hyperlink" Id="rId734" Target="https://doi.org/10.3182/20140824-6-za-1003.02615" TargetMode="External" /><Relationship Type="http://schemas.openxmlformats.org/officeDocument/2006/relationships/hyperlink" Id="rId705" Target="https://doi.org/10.3929/ethz-a-010692129" TargetMode="External" /><Relationship Type="http://schemas.openxmlformats.org/officeDocument/2006/relationships/hyperlink" Id="rId289" Target="https://doi.org/10.4233/uuid:71f7138f-3af2-4bc3-b035-a3e42b3cafaf" TargetMode="External" /><Relationship Type="http://schemas.openxmlformats.org/officeDocument/2006/relationships/hyperlink" Id="rId671" Target="https://doi.org/10.5281/zenodo.7397514" TargetMode="External" /><Relationship Type="http://schemas.openxmlformats.org/officeDocument/2006/relationships/hyperlink" Id="rId542" Target="https://doi.org/10.5547/01956574.37.3.lhir" TargetMode="External" /><Relationship Type="http://schemas.openxmlformats.org/officeDocument/2006/relationships/hyperlink" Id="rId548" Target="https://doi.org/10.5547/2160-5890.2.2.4" TargetMode="External" /><Relationship Type="http://schemas.openxmlformats.org/officeDocument/2006/relationships/hyperlink" Id="rId689" Target="https://doi.org/10.5547/2160-5890.5.1.jrie" TargetMode="External" /><Relationship Type="http://schemas.openxmlformats.org/officeDocument/2006/relationships/hyperlink" Id="rId444" Target="https://e-cigre.org/publication/SESSION2020_C2-C6-322" TargetMode="External" /><Relationship Type="http://schemas.openxmlformats.org/officeDocument/2006/relationships/hyperlink" Id="rId507" Target="https://eur-lex.europa.eu/legal-content/EN/TXT/?uri=uriserv:OJ.L_.2017.312.01.0006.01.ENG&amp;toc=OJ:L:2017:312:TOC#d1e4442-6-1" TargetMode="External" /><Relationship Type="http://schemas.openxmlformats.org/officeDocument/2006/relationships/hyperlink" Id="rId437" Target="https://haas.berkeley.edu/wp-content/uploads/WP336.pdf" TargetMode="External" /><Relationship Type="http://schemas.openxmlformats.org/officeDocument/2006/relationships/hyperlink" Id="rId567" Target="https://iea.blob.core.windows.net/assets/00dd2818-65f1-426c-8756-9cc0409d89a8/Status_of_Power_System_Transformation_2019.pdf" TargetMode="External" /><Relationship Type="http://schemas.openxmlformats.org/officeDocument/2006/relationships/hyperlink" Id="rId565" Target="https://iea.blob.core.windows.net/assets/deebef5d-0c34-4539-9d0c-10b13d840027/NetZeroby2050-ARoadmapfortheGlobalEnergySector_CORR.pdf" TargetMode="External" /><Relationship Type="http://schemas.openxmlformats.org/officeDocument/2006/relationships/hyperlink" Id="rId586" Target="https://ieefa.org/wp-content/uploads/2022/03/What-Is-the-State-of-Virtual-Power-Plants-in-Australia_March-2022_2.pdf" TargetMode="External" /><Relationship Type="http://schemas.openxmlformats.org/officeDocument/2006/relationships/hyperlink" Id="rId641" Target="https://nemo-committee.eu/sidc" TargetMode="External" /><Relationship Type="http://schemas.openxmlformats.org/officeDocument/2006/relationships/hyperlink" Id="rId423" Target="https://pv-map.apvi.org.au" TargetMode="External" /><Relationship Type="http://schemas.openxmlformats.org/officeDocument/2006/relationships/hyperlink" Id="rId666" Target="https://wattclarity.com.au/articles/2021/12/two-improvements-in-nemde-dispatch/" TargetMode="External" /><Relationship Type="http://schemas.openxmlformats.org/officeDocument/2006/relationships/hyperlink" Id="rId305" Target="https://www.aemc.gov.au/energy-system/electricity/electricity-system/NEM" TargetMode="External" /><Relationship Type="http://schemas.openxmlformats.org/officeDocument/2006/relationships/hyperlink" Id="rId313" Target="https://www.aemc.gov.au/news-centre/data-portal/annual-market-performance-review/2020" TargetMode="External" /><Relationship Type="http://schemas.openxmlformats.org/officeDocument/2006/relationships/hyperlink" Id="rId399" Target="https://www.aemc.gov.au/sites/default/files/2018-03/Advice from AEMO - Primary frequency control.PDF" TargetMode="External" /><Relationship Type="http://schemas.openxmlformats.org/officeDocument/2006/relationships/hyperlink" Id="rId554" Target="https://www.aemc.gov.au/sites/default/files/2019-11/Rule Change SubmissionERC0274 - TasNetworks - 20191031.PDF" TargetMode="External" /><Relationship Type="http://schemas.openxmlformats.org/officeDocument/2006/relationships/hyperlink" Id="rId329" Target="https://www.aemc.gov.au/sites/default/files/2020-08/Updated%20Amended%20Panel%20RERT%20Guidelines%20-%2018%20August%202020%20-%20Final%20for%20publication_0.pdf" TargetMode="External" /><Relationship Type="http://schemas.openxmlformats.org/officeDocument/2006/relationships/hyperlink" Id="rId311" Target="https://www.aemc.gov.au/sites/default/files/2021-01/Reserve%20services%20directions%20paper%20-%205.01.2021%20-%20FINAL.pdf" TargetMode="External" /><Relationship Type="http://schemas.openxmlformats.org/officeDocument/2006/relationships/hyperlink" Id="rId307" Target="https://www.aemc.gov.au/sites/default/files/2022-05/ERC0332%20-%20Updating%20Short%20Term%20PASA%20-%20Final%20determination.pdf" TargetMode="External" /><Relationship Type="http://schemas.openxmlformats.org/officeDocument/2006/relationships/hyperlink" Id="rId327" Target="https://www.aemc.gov.au/sites/default/files/2022-09/2022%20RSS%20Review%20Final%20Report%20%281%29.pdf" TargetMode="External" /><Relationship Type="http://schemas.openxmlformats.org/officeDocument/2006/relationships/hyperlink" Id="rId321" Target="https://www.aemc.gov.au/sites/default/files/content/0bcaf68c-8449-4ce0-aaa6-da223ca6e01c/Final-Determination-ERC0203-Non-scheduled-generation-and-load.pdf" TargetMode="External" /><Relationship Type="http://schemas.openxmlformats.org/officeDocument/2006/relationships/hyperlink" Id="rId323" Target="https://www.aemc.gov.au/sites/default/files/content/68cb8114-113d-4d96-91dc-5cb4b0f9e0ae/ERC0186-DRM-and-ASU-Final-rule-determination-FINAL.PDF" TargetMode="External" /><Relationship Type="http://schemas.openxmlformats.org/officeDocument/2006/relationships/hyperlink" Id="rId325" Target="https://www.aemc.gov.au/sites/default/files/content/815f277c-a015-47d0-bc13-ce3d5faaf96d/Final-Determination.pdf" TargetMode="External" /><Relationship Type="http://schemas.openxmlformats.org/officeDocument/2006/relationships/hyperlink" Id="rId317" Target="https://www.aemc.gov.au/sites/default/files/documents/final_determination_-_short_term_forward_market_-_clean.pdf" TargetMode="External" /><Relationship Type="http://schemas.openxmlformats.org/officeDocument/2006/relationships/hyperlink" Id="rId521" Target="https://www.aemo.com.au/-/media/Files/Electricity/NEM/Planning_and_Forecasting/Inputs-Assumptions-Methodologies/2019/GHD-AEMO-revised---2018-19-Costs_and_Technical_Parameter.xlsb" TargetMode="External" /><Relationship Type="http://schemas.openxmlformats.org/officeDocument/2006/relationships/hyperlink" Id="rId628" Target="https://www.aemo.com.au/-/media/Files/Electricity/NEM/Security_and_Reliability/Reports/2017/20170904-GE-RoCoF-Advisory" TargetMode="External" /><Relationship Type="http://schemas.openxmlformats.org/officeDocument/2006/relationships/hyperlink" Id="rId37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414" Target="https://www.aemo.com.au/-/media/files/electricity/nem/planning_and_forecasting/pasa/stpasa-process-description.pdf" TargetMode="External" /><Relationship Type="http://schemas.openxmlformats.org/officeDocument/2006/relationships/hyperlink" Id="rId344" Target="https://www.aemo.com.au/-/media/files/electricity/nem/security_and_reliability/congestion-information/transfer-limit-advice-system-strength.pdf?la=en" TargetMode="External" /><Relationship Type="http://schemas.openxmlformats.org/officeDocument/2006/relationships/hyperlink" Id="rId362" Target="https://www.aemo.com.au/-/media/files/electricity/nem/security_and_reliability/dispatch/policy_and_process/pre-dispatch-sensitivities.pdf" TargetMode="External" /><Relationship Type="http://schemas.openxmlformats.org/officeDocument/2006/relationships/hyperlink" Id="rId358" Target="https://www.aemo.com.au/-/media/files/electricity/nem/security_and_reliability/power_system_ops/consumer-fact-sheet.pdf" TargetMode="External" /><Relationship Type="http://schemas.openxmlformats.org/officeDocument/2006/relationships/hyperlink" Id="rId360" Target="https://www.aemo.com.au/-/media/files/electricity/nem/security_and_reliability/power_system_ops/procedures/so_op_3704-predispatch.pdf?la=en" TargetMode="External" /><Relationship Type="http://schemas.openxmlformats.org/officeDocument/2006/relationships/hyperlink" Id="rId405" Target="https://www.aemo.com.au/-/media/files/electricity/nem/security_and_reliability/power_system_ops/reserve-level-declaration-guidelines.pdf?la=en" TargetMode="External" /><Relationship Type="http://schemas.openxmlformats.org/officeDocument/2006/relationships/hyperlink" Id="rId389" Target="https://www.aemo.com.au/-/media/files/initiatives/submissions/2020/wdrm/wdrm-high-level-design-june-2020.pdf" TargetMode="External" /><Relationship Type="http://schemas.openxmlformats.org/officeDocument/2006/relationships/hyperlink" Id="rId421" Target="https://www.aer.gov.au/system/files/AER%20-%20Values%20of%20Customer%20Reliability%20Review%20-%20Final%20Report%20-%20December%202019.pdf" TargetMode="External" /><Relationship Type="http://schemas.openxmlformats.org/officeDocument/2006/relationships/hyperlink" Id="rId417" Target="https://www.aer.gov.au/system/files/State%20of%20the%20energy%20market%202022%20-%20Full%20report.pdf" TargetMode="External" /><Relationship Type="http://schemas.openxmlformats.org/officeDocument/2006/relationships/hyperlink" Id="rId297" Target="https://www.asxenergy.com.au/products/electricity_futures" TargetMode="External" /><Relationship Type="http://schemas.openxmlformats.org/officeDocument/2006/relationships/hyperlink" Id="rId696" Target="https://www.ceem.unsw.edu.au/sites/default/files/uploads/publications/VPP%20User%20Research%20-%20Final%20Report%20-%2020201127r.pdf" TargetMode="External" /><Relationship Type="http://schemas.openxmlformats.org/officeDocument/2006/relationships/hyperlink" Id="rId491" Target="https://www.climatechangeinaustralia.gov.au/media/ccia/2.2/cms_page_media/799/ESCI%20Project%20final%20report_210721.pdf" TargetMode="External" /><Relationship Type="http://schemas.openxmlformats.org/officeDocument/2006/relationships/hyperlink" Id="rId301" Target="https://www.electranet.com.au/wp-content/uploads/projects/2016/11/508986-REP-ElectraNet-Generator-Technical-And-Cost-Parameters-23July2020.pdf" TargetMode="External" /><Relationship Type="http://schemas.openxmlformats.org/officeDocument/2006/relationships/hyperlink" Id="rId494" Target="https://www.energyexemplar.com/plexos" TargetMode="External" /><Relationship Type="http://schemas.openxmlformats.org/officeDocument/2006/relationships/hyperlink" Id="rId501" Target="https://www.epexspot.com/en/marketcoupling" TargetMode="External" /><Relationship Type="http://schemas.openxmlformats.org/officeDocument/2006/relationships/hyperlink" Id="rId475" Target="https://www.epri.com/research/products/000000003002015670" TargetMode="External" /><Relationship Type="http://schemas.openxmlformats.org/officeDocument/2006/relationships/hyperlink" Id="rId524" Target="https://www.esig.energy/download/plenary-1-grid-physics-and-markets-a-non-engineers-perspective-eric-gimon/" TargetMode="External" /><Relationship Type="http://schemas.openxmlformats.org/officeDocument/2006/relationships/hyperlink" Id="rId684" Target="https://www.esig.energy/wp-content/uploads/2021/08/ESIG-Redefining-Resource-Adequacy-2021.pdf" TargetMode="External" /><Relationship Type="http://schemas.openxmlformats.org/officeDocument/2006/relationships/hyperlink" Id="rId512" Target="https://www.ferc.gov/news-events/news/ferc-staff-issues-report-energy-and-ancillary-services-market-reforms-address" TargetMode="External" /><Relationship Type="http://schemas.openxmlformats.org/officeDocument/2006/relationships/hyperlink" Id="rId561" Target="https://www.ibm.com/au-en/analytics/cplex-optimizer" TargetMode="External" /><Relationship Type="http://schemas.openxmlformats.org/officeDocument/2006/relationships/hyperlink" Id="rId563" Target="https://www.iea.org/fuels-and-technologies/energy-storage" TargetMode="External" /><Relationship Type="http://schemas.openxmlformats.org/officeDocument/2006/relationships/hyperlink" Id="rId636" Target="https://www.monitoringanalytics.com/reports/PJM_State_of_the_Market/2021.shtml" TargetMode="External" /><Relationship Type="http://schemas.openxmlformats.org/officeDocument/2006/relationships/hyperlink" Id="rId644" Target="https://www.nerc.com/AboutNERC/keyplayers/PublishingImages/NERC%20Interconnections.pdf" TargetMode="External" /><Relationship Type="http://schemas.openxmlformats.org/officeDocument/2006/relationships/hyperlink" Id="rId646" Target="https://www.nerc.com/pa/RAPA/ra/Reliability%20Assessments%20DL/NERC_SRA_2022.pdf" TargetMode="External" /><Relationship Type="http://schemas.openxmlformats.org/officeDocument/2006/relationships/hyperlink" Id="rId489" Target="https://www.projectenergyconnect.com.au/index.html" TargetMode="External" /><Relationship Type="http://schemas.openxmlformats.org/officeDocument/2006/relationships/hyperlink" Id="rId528" Target="https://www.researchgate.net/publication/329798805" TargetMode="External" /><Relationship Type="http://schemas.openxmlformats.org/officeDocument/2006/relationships/hyperlink" Id="rId295" Target="https://www.semanticscholar.org/paper/Energy-Storage-for-Short-Term-Frequency-Stability-Akram-Mithulananthan/b74131f080c15125436fe65784135492fa318b02" TargetMode="External" /><Relationship Type="http://schemas.openxmlformats.org/officeDocument/2006/relationships/hyperlink" Id="rId742" Target="https://www.youtube.com/watch?v=LpYnKVC9hGY&amp;feature=youtu.be" TargetMode="External" /><Relationship Type="http://schemas.openxmlformats.org/officeDocument/2006/relationships/hyperlink" Id="rId97" Target="source/figures/capability_performance-04.png" TargetMode="External" /></Relationships>
</file>

<file path=word/_rels/footnotes.xml.rels><?xml version="1.0" encoding="UTF-8"?><Relationships xmlns="http://schemas.openxmlformats.org/package/2006/relationships"><Relationship Type="http://schemas.openxmlformats.org/officeDocument/2006/relationships/hyperlink" Id="rId303" Target="http://www.aemc.gov.au/energy-system/electricity/electricity-system/electricity-supply-chain" TargetMode="External" /><Relationship Type="http://schemas.openxmlformats.org/officeDocument/2006/relationships/hyperlink" Id="rId342" Target="https://aemo.com.au/-/media/files/electricity/nem/market_notices_and_events/market_event_reports/2022/nem-market-suspension-and-operational-challenges-in-june-2022.pdf?la=en" TargetMode="External" /><Relationship Type="http://schemas.openxmlformats.org/officeDocument/2006/relationships/hyperlink" Id="rId369" Target="https://aemo.com.au/-/media/files/electricity/nem/planning_and_forecasting/inputs-assumptions-methodologies/2020/2020-inputs-and-assumptions-workbook-dec20.xlsx?la=en" TargetMode="External" /><Relationship Type="http://schemas.openxmlformats.org/officeDocument/2006/relationships/hyperlink" Id="rId383" Target="https://aemo.com.au/-/media/files/electricity/nem/planning_and_forecasting/rsig/reliability-standard-implementation-guidelines.pdf?la=en" TargetMode="External" /><Relationship Type="http://schemas.openxmlformats.org/officeDocument/2006/relationships/hyperlink" Id="rId353" Target="https://aemo.com.au/-/media/files/electricity/nem/security_and_reliability/dispatch/policy_and_process/fast-start-unit-inflexibility-profile.pdf" TargetMode="External" /><Relationship Type="http://schemas.openxmlformats.org/officeDocument/2006/relationships/hyperlink" Id="rId366" Target="https://aemo.com.au/-/media/files/electricity/nem/security_and_reliability/power_system_ops/procedures/so_op_3703-short-term-reserve-management.pdf?la=en" TargetMode="External" /><Relationship Type="http://schemas.openxmlformats.org/officeDocument/2006/relationships/hyperlink" Id="rId373" Target="https://aemo.com.au/-/media/files/major-publications/isp/2020/final-2020-isp-generation-outlook.zip?la=en" TargetMode="External" /><Relationship Type="http://schemas.openxmlformats.org/officeDocument/2006/relationships/hyperlink" Id="rId336" Target="https://aemo.com.au/-/media/files/major-publications/isp/2022/2022-documents/2022-integrated-system-plan-isp.pdf?la=en" TargetMode="External" /><Relationship Type="http://schemas.openxmlformats.org/officeDocument/2006/relationships/hyperlink" Id="rId348" Target="https://aemo.com.au/en/initiatives/major-programs/nem-distributed-energy-resources-der-program/operations/der-behaviour-during-disturbances" TargetMode="External" /><Relationship Type="http://schemas.openxmlformats.org/officeDocument/2006/relationships/hyperlink" Id="rId332" Target="https://aemo.com.au/energy-systems/electricity/national-electricity-market-nem/data-nem/market-management-system-mms-data/pre-dispatch" TargetMode="External" /><Relationship Type="http://schemas.openxmlformats.org/officeDocument/2006/relationships/hyperlink" Id="rId340" Target="https://aemo.com.au/energy-systems/electricity/national-electricity-market-nem/nem-forecasting-and-planning/forecasting-and-planning-data/generation-information" TargetMode="External" /><Relationship Type="http://schemas.openxmlformats.org/officeDocument/2006/relationships/hyperlink" Id="rId371" Target="https://aemo.com.au/energy-systems/major-publications/integrated-system-plan-isp/2020-integrated-system-plan-isp" TargetMode="External" /><Relationship Type="http://schemas.openxmlformats.org/officeDocument/2006/relationships/hyperlink" Id="rId391" Target="https://aemo.com.au/energy-systems/major-publications/integrated-system-plan-isp/2020-integrated-system-plan-isp/2019-isp-database" TargetMode="External" /><Relationship Type="http://schemas.openxmlformats.org/officeDocument/2006/relationships/hyperlink" Id="rId338" Target="https://aemo.com.au/initiatives/major-programs/past-major-programs/five-minute-settlement/5ms-program-management/5ms-commencement" TargetMode="External" /><Relationship Type="http://schemas.openxmlformats.org/officeDocument/2006/relationships/hyperlink" Id="rId334" Target="https://aemo.com.au/learn/energy-explained/energy-101/industry-overview" TargetMode="External" /><Relationship Type="http://schemas.openxmlformats.org/officeDocument/2006/relationships/hyperlink" Id="rId687" Target="https://arena.gov.au/assets/2021/04/renewable-energy-hub-final-report.pdf" TargetMode="External" /><Relationship Type="http://schemas.openxmlformats.org/officeDocument/2006/relationships/hyperlink" Id="rId299" Target="https://arena.gov.au/knowledge-bank/large-scale-battery-storage-knowledge-sharing-report/" TargetMode="External" /><Relationship Type="http://schemas.openxmlformats.org/officeDocument/2006/relationships/hyperlink" Id="rId580" Target="https://doi.org/10.1002/0470020598" TargetMode="External" /><Relationship Type="http://schemas.openxmlformats.org/officeDocument/2006/relationships/hyperlink" Id="rId616" Target="https://doi.org/10.1002/0471668826" TargetMode="External" /><Relationship Type="http://schemas.openxmlformats.org/officeDocument/2006/relationships/hyperlink" Id="rId535" Target="https://doi.org/10.1002/2050-7038.12128" TargetMode="External" /><Relationship Type="http://schemas.openxmlformats.org/officeDocument/2006/relationships/hyperlink" Id="rId425" Target="https://doi.org/10.1002/9780470754245" TargetMode="External" /><Relationship Type="http://schemas.openxmlformats.org/officeDocument/2006/relationships/hyperlink" Id="rId693" Target="https://doi.org/10.1002/wene.137" TargetMode="External" /><Relationship Type="http://schemas.openxmlformats.org/officeDocument/2006/relationships/hyperlink" Id="rId624" Target="https://doi.org/10.1002/wene.399" TargetMode="External" /><Relationship Type="http://schemas.openxmlformats.org/officeDocument/2006/relationships/hyperlink" Id="rId473" Target="https://doi.org/10.1007/s11149-021-09430-7" TargetMode="External" /><Relationship Type="http://schemas.openxmlformats.org/officeDocument/2006/relationships/hyperlink" Id="rId611" Target="https://doi.org/10.1016/B978-0-12-397891-2.00020-1" TargetMode="External" /><Relationship Type="http://schemas.openxmlformats.org/officeDocument/2006/relationships/hyperlink" Id="rId740" Target="https://doi.org/10.1016/j.apenergy.2017.08.164" TargetMode="External" /><Relationship Type="http://schemas.openxmlformats.org/officeDocument/2006/relationships/hyperlink" Id="rId539" Target="https://doi.org/10.1016/j.apenergy.2020.115852" TargetMode="External" /><Relationship Type="http://schemas.openxmlformats.org/officeDocument/2006/relationships/hyperlink" Id="rId654" Target="https://doi.org/10.1016/j.eneco.2018.05.003" TargetMode="External" /><Relationship Type="http://schemas.openxmlformats.org/officeDocument/2006/relationships/hyperlink" Id="rId569" Target="https://doi.org/10.1016/j.enpol.2008.06.033" TargetMode="External" /><Relationship Type="http://schemas.openxmlformats.org/officeDocument/2006/relationships/hyperlink" Id="rId738" Target="https://doi.org/10.1016/j.enpol.2009.07.034" TargetMode="External" /><Relationship Type="http://schemas.openxmlformats.org/officeDocument/2006/relationships/hyperlink" Id="rId707" Target="https://doi.org/10.1016/j.enpol.2013.07.030" TargetMode="External" /><Relationship Type="http://schemas.openxmlformats.org/officeDocument/2006/relationships/hyperlink" Id="rId701" Target="https://doi.org/10.1016/j.enpol.2017.02.035" TargetMode="External" /><Relationship Type="http://schemas.openxmlformats.org/officeDocument/2006/relationships/hyperlink" Id="rId463" Target="https://doi.org/10.1016/j.enpol.2018.01.023" TargetMode="External" /><Relationship Type="http://schemas.openxmlformats.org/officeDocument/2006/relationships/hyperlink" Id="rId457" Target="https://doi.org/10.1016/j.enpol.2018.09.031" TargetMode="External" /><Relationship Type="http://schemas.openxmlformats.org/officeDocument/2006/relationships/hyperlink" Id="rId669" Target="https://doi.org/10.1016/j.enpol.2018.11.009" TargetMode="External" /><Relationship Type="http://schemas.openxmlformats.org/officeDocument/2006/relationships/hyperlink" Id="rId446" Target="https://doi.org/10.1016/j.enpol.2018.12.052" TargetMode="External" /><Relationship Type="http://schemas.openxmlformats.org/officeDocument/2006/relationships/hyperlink" Id="rId605" Target="https://doi.org/10.1016/j.enpol.2020.111739" TargetMode="External" /><Relationship Type="http://schemas.openxmlformats.org/officeDocument/2006/relationships/hyperlink" Id="rId620" Target="https://doi.org/10.1016/j.enpol.2020.112010" TargetMode="External" /><Relationship Type="http://schemas.openxmlformats.org/officeDocument/2006/relationships/hyperlink" Id="rId517" Target="https://doi.org/10.1016/j.enpol.2021.112443" TargetMode="External" /><Relationship Type="http://schemas.openxmlformats.org/officeDocument/2006/relationships/hyperlink" Id="rId461" Target="https://doi.org/10.1016/j.epsr.2021.107022" TargetMode="External" /><Relationship Type="http://schemas.openxmlformats.org/officeDocument/2006/relationships/hyperlink" Id="rId291" Target="https://doi.org/10.1016/j.esr.2022.100812" TargetMode="External" /><Relationship Type="http://schemas.openxmlformats.org/officeDocument/2006/relationships/hyperlink" Id="rId638" Target="https://doi.org/10.1016/j.ijepes.2013.09.020" TargetMode="External" /><Relationship Type="http://schemas.openxmlformats.org/officeDocument/2006/relationships/hyperlink" Id="rId732" Target="https://doi.org/10.1016/j.ijepes.2015.02.028" TargetMode="External" /><Relationship Type="http://schemas.openxmlformats.org/officeDocument/2006/relationships/hyperlink" Id="rId519" Target="https://doi.org/10.1016/j.joule.2021.03.021" TargetMode="External" /><Relationship Type="http://schemas.openxmlformats.org/officeDocument/2006/relationships/hyperlink" Id="rId622" Target="https://doi.org/10.1016/j.joule.2022.01.004" TargetMode="External" /><Relationship Type="http://schemas.openxmlformats.org/officeDocument/2006/relationships/hyperlink" Id="rId715" Target="https://doi.org/10.1016/j.jup.2005.12.002" TargetMode="External" /><Relationship Type="http://schemas.openxmlformats.org/officeDocument/2006/relationships/hyperlink" Id="rId699" Target="https://doi.org/10.1016/j.jup.2008.01.008" TargetMode="External" /><Relationship Type="http://schemas.openxmlformats.org/officeDocument/2006/relationships/hyperlink" Id="rId736" Target="https://doi.org/10.1016/j.jup.2016.10.008" TargetMode="External" /><Relationship Type="http://schemas.openxmlformats.org/officeDocument/2006/relationships/hyperlink" Id="rId662" Target="https://doi.org/10.1016/j.renene.2018.04.094" TargetMode="External" /><Relationship Type="http://schemas.openxmlformats.org/officeDocument/2006/relationships/hyperlink" Id="rId574" Target="https://doi.org/10.1016/j.renene.2020.11.090" TargetMode="External" /><Relationship Type="http://schemas.openxmlformats.org/officeDocument/2006/relationships/hyperlink" Id="rId544" Target="https://doi.org/10.1016/j.rser.2015.04.180" TargetMode="External" /><Relationship Type="http://schemas.openxmlformats.org/officeDocument/2006/relationships/hyperlink" Id="rId730" Target="https://doi.org/10.1016/j.rser.2015.11.016" TargetMode="External" /><Relationship Type="http://schemas.openxmlformats.org/officeDocument/2006/relationships/hyperlink" Id="rId652" Target="https://doi.org/10.1016/j.rser.2016.09.040" TargetMode="External" /><Relationship Type="http://schemas.openxmlformats.org/officeDocument/2006/relationships/hyperlink" Id="rId526" Target="https://doi.org/10.1016/j.rser.2017.05.278" TargetMode="External" /><Relationship Type="http://schemas.openxmlformats.org/officeDocument/2006/relationships/hyperlink" Id="rId427" Target="https://doi.org/10.1016/j.rser.2018.03.085" TargetMode="External" /><Relationship Type="http://schemas.openxmlformats.org/officeDocument/2006/relationships/hyperlink" Id="rId515" Target="https://doi.org/10.1016/j.rser.2019.109662" TargetMode="External" /><Relationship Type="http://schemas.openxmlformats.org/officeDocument/2006/relationships/hyperlink" Id="rId590" Target="https://doi.org/10.1016/j.rser.2020.110467" TargetMode="External" /><Relationship Type="http://schemas.openxmlformats.org/officeDocument/2006/relationships/hyperlink" Id="rId712" Target="https://doi.org/10.1016/j.rser.2022.112228" TargetMode="External" /><Relationship Type="http://schemas.openxmlformats.org/officeDocument/2006/relationships/hyperlink" Id="rId673" Target="https://doi.org/10.1016/j.rser.2022.112303" TargetMode="External" /><Relationship Type="http://schemas.openxmlformats.org/officeDocument/2006/relationships/hyperlink" Id="rId455" Target="https://doi.org/10.1016/j.seta.2021.101286" TargetMode="External" /><Relationship Type="http://schemas.openxmlformats.org/officeDocument/2006/relationships/hyperlink" Id="rId576" Target="https://doi.org/10.1016/j.solener.2020.05.053" TargetMode="External" /><Relationship Type="http://schemas.openxmlformats.org/officeDocument/2006/relationships/hyperlink" Id="rId559" Target="https://doi.org/10.1016/j.tej.2004.03.001" TargetMode="External" /><Relationship Type="http://schemas.openxmlformats.org/officeDocument/2006/relationships/hyperlink" Id="rId571" Target="https://doi.org/10.1016/j.tej.2006.09.010" TargetMode="External" /><Relationship Type="http://schemas.openxmlformats.org/officeDocument/2006/relationships/hyperlink" Id="rId682" Target="https://doi.org/10.1016/j.tej.2007.06.003" TargetMode="External" /><Relationship Type="http://schemas.openxmlformats.org/officeDocument/2006/relationships/hyperlink" Id="rId631" Target="https://doi.org/10.1016/j.tej.2011.10.011" TargetMode="External" /><Relationship Type="http://schemas.openxmlformats.org/officeDocument/2006/relationships/hyperlink" Id="rId487" Target="https://doi.org/10.1016/j.tej.2012.04.015" TargetMode="External" /><Relationship Type="http://schemas.openxmlformats.org/officeDocument/2006/relationships/hyperlink" Id="rId442" Target="https://doi.org/10.1016/j.tej.2013.05.004" TargetMode="External" /><Relationship Type="http://schemas.openxmlformats.org/officeDocument/2006/relationships/hyperlink" Id="rId691" Target="https://doi.org/10.1016/j.tej.2015.03.006" TargetMode="External" /><Relationship Type="http://schemas.openxmlformats.org/officeDocument/2006/relationships/hyperlink" Id="rId479" Target="https://doi.org/10.1016/j.tej.2016.05.001" TargetMode="External" /><Relationship Type="http://schemas.openxmlformats.org/officeDocument/2006/relationships/hyperlink" Id="rId556" Target="https://doi.org/10.1016/j.tej.2017.01.009" TargetMode="External" /><Relationship Type="http://schemas.openxmlformats.org/officeDocument/2006/relationships/hyperlink" Id="rId658" Target="https://doi.org/10.1016/j.tej.2018.05.012" TargetMode="External" /><Relationship Type="http://schemas.openxmlformats.org/officeDocument/2006/relationships/hyperlink" Id="rId439" Target="https://doi.org/10.1016/j.tej.2019.106668" TargetMode="External" /><Relationship Type="http://schemas.openxmlformats.org/officeDocument/2006/relationships/hyperlink" Id="rId609" Target="https://doi.org/10.1016/j.tej.2020.106831" TargetMode="External" /><Relationship Type="http://schemas.openxmlformats.org/officeDocument/2006/relationships/hyperlink" Id="rId718" Target="https://doi.org/10.1016/j.tej.2020.106837" TargetMode="External" /><Relationship Type="http://schemas.openxmlformats.org/officeDocument/2006/relationships/hyperlink" Id="rId664" Target="https://doi.org/10.1016/j.tej.2020.106863" TargetMode="External" /><Relationship Type="http://schemas.openxmlformats.org/officeDocument/2006/relationships/hyperlink" Id="rId724" Target="https://doi.org/10.1016/j.tej.2021.106934" TargetMode="External" /><Relationship Type="http://schemas.openxmlformats.org/officeDocument/2006/relationships/hyperlink" Id="rId469" Target="https://doi.org/10.1049/iet-gtd.2013.0720" TargetMode="External" /><Relationship Type="http://schemas.openxmlformats.org/officeDocument/2006/relationships/hyperlink" Id="rId503" Target="https://doi.org/10.1049/iet-rpg.2017.0370" TargetMode="External" /><Relationship Type="http://schemas.openxmlformats.org/officeDocument/2006/relationships/hyperlink" Id="rId533" Target="https://doi.org/10.1080/23251042.2016.1155690" TargetMode="External" /><Relationship Type="http://schemas.openxmlformats.org/officeDocument/2006/relationships/hyperlink" Id="rId459" Target="https://doi.org/10.1093/ooenergy/oiab007" TargetMode="External" /><Relationship Type="http://schemas.openxmlformats.org/officeDocument/2006/relationships/hyperlink" Id="rId453" Target="https://doi.org/10.1093/oxrep/grx041" TargetMode="External" /><Relationship Type="http://schemas.openxmlformats.org/officeDocument/2006/relationships/hyperlink" Id="rId582" Target="https://doi.org/10.1109/MPE.2016.2524964" TargetMode="External" /><Relationship Type="http://schemas.openxmlformats.org/officeDocument/2006/relationships/hyperlink" Id="rId603" Target="https://doi.org/10.1109/MPE.2021.3072819" TargetMode="External" /><Relationship Type="http://schemas.openxmlformats.org/officeDocument/2006/relationships/hyperlink" Id="rId471" Target="https://doi.org/10.1109/MPE.2021.3088958" TargetMode="External" /><Relationship Type="http://schemas.openxmlformats.org/officeDocument/2006/relationships/hyperlink" Id="rId660" Target="https://doi.org/10.1109/TPWRS.2013.2293127" TargetMode="External" /><Relationship Type="http://schemas.openxmlformats.org/officeDocument/2006/relationships/hyperlink" Id="rId431" Target="https://doi.org/10.1109/TPWRS.2019.2925557" TargetMode="External" /><Relationship Type="http://schemas.openxmlformats.org/officeDocument/2006/relationships/hyperlink" Id="rId451" Target="https://doi.org/10.1109/TPWRS.2022.3163106" TargetMode="External" /><Relationship Type="http://schemas.openxmlformats.org/officeDocument/2006/relationships/hyperlink" Id="rId429" Target="https://doi.org/10.1109/cigre.2005.1532720" TargetMode="External" /><Relationship Type="http://schemas.openxmlformats.org/officeDocument/2006/relationships/hyperlink" Id="rId650" Target="https://doi.org/10.1109/eem.2016.7521193" TargetMode="External" /><Relationship Type="http://schemas.openxmlformats.org/officeDocument/2006/relationships/hyperlink" Id="rId703" Target="https://doi.org/10.1109/hicss.2014.304" TargetMode="External" /><Relationship Type="http://schemas.openxmlformats.org/officeDocument/2006/relationships/hyperlink" Id="rId448" Target="https://doi.org/10.1109/jproc.2005.857493" TargetMode="External" /><Relationship Type="http://schemas.openxmlformats.org/officeDocument/2006/relationships/hyperlink" Id="rId584" Target="https://doi.org/10.1109/mpe.2016.2637122" TargetMode="External" /><Relationship Type="http://schemas.openxmlformats.org/officeDocument/2006/relationships/hyperlink" Id="rId435" Target="https://doi.org/10.1109/mpe.2017.2729079" TargetMode="External" /><Relationship Type="http://schemas.openxmlformats.org/officeDocument/2006/relationships/hyperlink" Id="rId546" Target="https://doi.org/10.1109/mpe.2018.2871736" TargetMode="External" /><Relationship Type="http://schemas.openxmlformats.org/officeDocument/2006/relationships/hyperlink" Id="rId485" Target="https://doi.org/10.1109/mpe.2019.2933281" TargetMode="External" /><Relationship Type="http://schemas.openxmlformats.org/officeDocument/2006/relationships/hyperlink" Id="rId722" Target="https://doi.org/10.1109/mpe.2020.3014720" TargetMode="External" /><Relationship Type="http://schemas.openxmlformats.org/officeDocument/2006/relationships/hyperlink" Id="rId483" Target="https://doi.org/10.1109/mpe.2020.3033396" TargetMode="External" /><Relationship Type="http://schemas.openxmlformats.org/officeDocument/2006/relationships/hyperlink" Id="rId614" Target="https://doi.org/10.1109/mpe.2020.3043570" TargetMode="External" /><Relationship Type="http://schemas.openxmlformats.org/officeDocument/2006/relationships/hyperlink" Id="rId592" Target="https://doi.org/10.1109/mpe.2021.3088959" TargetMode="External" /><Relationship Type="http://schemas.openxmlformats.org/officeDocument/2006/relationships/hyperlink" Id="rId618" Target="https://doi.org/10.1109/mpe.2021.3104075" TargetMode="External" /><Relationship Type="http://schemas.openxmlformats.org/officeDocument/2006/relationships/hyperlink" Id="rId720" Target="https://doi.org/10.1109/mpe.2021.3104076" TargetMode="External" /><Relationship Type="http://schemas.openxmlformats.org/officeDocument/2006/relationships/hyperlink" Id="rId726" Target="https://doi.org/10.1109/pes.2007.385855" TargetMode="External" /><Relationship Type="http://schemas.openxmlformats.org/officeDocument/2006/relationships/hyperlink" Id="rId477" Target="https://doi.org/10.1109/pesgm.2012.6345361" TargetMode="External" /><Relationship Type="http://schemas.openxmlformats.org/officeDocument/2006/relationships/hyperlink" Id="rId598" Target="https://doi.org/10.1109/pesgm.2012.6345375" TargetMode="External" /><Relationship Type="http://schemas.openxmlformats.org/officeDocument/2006/relationships/hyperlink" Id="rId607" Target="https://doi.org/10.1109/pesgm41954.2020.9282169" TargetMode="External" /><Relationship Type="http://schemas.openxmlformats.org/officeDocument/2006/relationships/hyperlink" Id="rId552" Target="https://doi.org/10.1109/pesmg.2013.6673067" TargetMode="External" /><Relationship Type="http://schemas.openxmlformats.org/officeDocument/2006/relationships/hyperlink" Id="rId656" Target="https://doi.org/10.1109/pmaps47429.2020.9183585" TargetMode="External" /><Relationship Type="http://schemas.openxmlformats.org/officeDocument/2006/relationships/hyperlink" Id="rId680" Target="https://doi.org/10.1109/tpwrs.2006.888963" TargetMode="External" /><Relationship Type="http://schemas.openxmlformats.org/officeDocument/2006/relationships/hyperlink" Id="rId678" Target="https://doi.org/10.1109/tpwrs.2006.888965" TargetMode="External" /><Relationship Type="http://schemas.openxmlformats.org/officeDocument/2006/relationships/hyperlink" Id="rId596" Target="https://doi.org/10.1109/tpwrs.2011.2177280" TargetMode="External" /><Relationship Type="http://schemas.openxmlformats.org/officeDocument/2006/relationships/hyperlink" Id="rId594" Target="https://doi.org/10.1109/tpwrs.2014.2321793" TargetMode="External" /><Relationship Type="http://schemas.openxmlformats.org/officeDocument/2006/relationships/hyperlink" Id="rId745" Target="https://doi.org/10.1109/tpwrs.2015.2390038" TargetMode="External" /><Relationship Type="http://schemas.openxmlformats.org/officeDocument/2006/relationships/hyperlink" Id="rId634" Target="https://doi.org/10.1109/tpwrs.2019.2897727" TargetMode="External" /><Relationship Type="http://schemas.openxmlformats.org/officeDocument/2006/relationships/hyperlink" Id="rId537" Target="https://doi.org/10.1109/tpwrs.2020.3041774" TargetMode="External" /><Relationship Type="http://schemas.openxmlformats.org/officeDocument/2006/relationships/hyperlink" Id="rId648" Target="https://doi.org/10.1109/tste.2015.2410760" TargetMode="External" /><Relationship Type="http://schemas.openxmlformats.org/officeDocument/2006/relationships/hyperlink" Id="rId728" Target="https://doi.org/10.1260/030952408784305868" TargetMode="External" /><Relationship Type="http://schemas.openxmlformats.org/officeDocument/2006/relationships/hyperlink" Id="rId675" Target="https://doi.org/10.13140/RG.2.2.11620.50560" TargetMode="External" /><Relationship Type="http://schemas.openxmlformats.org/officeDocument/2006/relationships/hyperlink" Id="rId709" Target="https://doi.org/10.13140/RG.2.2.30173.69601" TargetMode="External" /><Relationship Type="http://schemas.openxmlformats.org/officeDocument/2006/relationships/hyperlink" Id="rId531" Target="https://doi.org/10.17775/cseejpes.2019.00230" TargetMode="External" /><Relationship Type="http://schemas.openxmlformats.org/officeDocument/2006/relationships/hyperlink" Id="rId293" Target="https://doi.org/10.2139/ssrn.3302569" TargetMode="External" /><Relationship Type="http://schemas.openxmlformats.org/officeDocument/2006/relationships/hyperlink" Id="rId481" Target="https://doi.org/10.2172/1023095" TargetMode="External" /><Relationship Type="http://schemas.openxmlformats.org/officeDocument/2006/relationships/hyperlink" Id="rId588" Target="https://doi.org/10.2172/1046269" TargetMode="External" /><Relationship Type="http://schemas.openxmlformats.org/officeDocument/2006/relationships/hyperlink" Id="rId600" Target="https://doi.org/10.2172/1220243" TargetMode="External" /><Relationship Type="http://schemas.openxmlformats.org/officeDocument/2006/relationships/hyperlink" Id="rId626" Target="https://doi.org/10.23919/pscc.2018.8450880" TargetMode="External" /><Relationship Type="http://schemas.openxmlformats.org/officeDocument/2006/relationships/hyperlink" Id="rId433" Target="https://doi.org/10.26889/9781784671600" TargetMode="External" /><Relationship Type="http://schemas.openxmlformats.org/officeDocument/2006/relationships/hyperlink" Id="rId734" Target="https://doi.org/10.3182/20140824-6-za-1003.02615" TargetMode="External" /><Relationship Type="http://schemas.openxmlformats.org/officeDocument/2006/relationships/hyperlink" Id="rId705" Target="https://doi.org/10.3929/ethz-a-010692129" TargetMode="External" /><Relationship Type="http://schemas.openxmlformats.org/officeDocument/2006/relationships/hyperlink" Id="rId289" Target="https://doi.org/10.4233/uuid:71f7138f-3af2-4bc3-b035-a3e42b3cafaf" TargetMode="External" /><Relationship Type="http://schemas.openxmlformats.org/officeDocument/2006/relationships/hyperlink" Id="rId671" Target="https://doi.org/10.5281/zenodo.7397514" TargetMode="External" /><Relationship Type="http://schemas.openxmlformats.org/officeDocument/2006/relationships/hyperlink" Id="rId542" Target="https://doi.org/10.5547/01956574.37.3.lhir" TargetMode="External" /><Relationship Type="http://schemas.openxmlformats.org/officeDocument/2006/relationships/hyperlink" Id="rId548" Target="https://doi.org/10.5547/2160-5890.2.2.4" TargetMode="External" /><Relationship Type="http://schemas.openxmlformats.org/officeDocument/2006/relationships/hyperlink" Id="rId689" Target="https://doi.org/10.5547/2160-5890.5.1.jrie" TargetMode="External" /><Relationship Type="http://schemas.openxmlformats.org/officeDocument/2006/relationships/hyperlink" Id="rId444" Target="https://e-cigre.org/publication/SESSION2020_C2-C6-322" TargetMode="External" /><Relationship Type="http://schemas.openxmlformats.org/officeDocument/2006/relationships/hyperlink" Id="rId507" Target="https://eur-lex.europa.eu/legal-content/EN/TXT/?uri=uriserv:OJ.L_.2017.312.01.0006.01.ENG&amp;toc=OJ:L:2017:312:TOC#d1e4442-6-1" TargetMode="External" /><Relationship Type="http://schemas.openxmlformats.org/officeDocument/2006/relationships/hyperlink" Id="rId437" Target="https://haas.berkeley.edu/wp-content/uploads/WP336.pdf" TargetMode="External" /><Relationship Type="http://schemas.openxmlformats.org/officeDocument/2006/relationships/hyperlink" Id="rId567" Target="https://iea.blob.core.windows.net/assets/00dd2818-65f1-426c-8756-9cc0409d89a8/Status_of_Power_System_Transformation_2019.pdf" TargetMode="External" /><Relationship Type="http://schemas.openxmlformats.org/officeDocument/2006/relationships/hyperlink" Id="rId565" Target="https://iea.blob.core.windows.net/assets/deebef5d-0c34-4539-9d0c-10b13d840027/NetZeroby2050-ARoadmapfortheGlobalEnergySector_CORR.pdf" TargetMode="External" /><Relationship Type="http://schemas.openxmlformats.org/officeDocument/2006/relationships/hyperlink" Id="rId586" Target="https://ieefa.org/wp-content/uploads/2022/03/What-Is-the-State-of-Virtual-Power-Plants-in-Australia_March-2022_2.pdf" TargetMode="External" /><Relationship Type="http://schemas.openxmlformats.org/officeDocument/2006/relationships/hyperlink" Id="rId641" Target="https://nemo-committee.eu/sidc" TargetMode="External" /><Relationship Type="http://schemas.openxmlformats.org/officeDocument/2006/relationships/hyperlink" Id="rId423" Target="https://pv-map.apvi.org.au" TargetMode="External" /><Relationship Type="http://schemas.openxmlformats.org/officeDocument/2006/relationships/hyperlink" Id="rId666" Target="https://wattclarity.com.au/articles/2021/12/two-improvements-in-nemde-dispatch/" TargetMode="External" /><Relationship Type="http://schemas.openxmlformats.org/officeDocument/2006/relationships/hyperlink" Id="rId305" Target="https://www.aemc.gov.au/energy-system/electricity/electricity-system/NEM" TargetMode="External" /><Relationship Type="http://schemas.openxmlformats.org/officeDocument/2006/relationships/hyperlink" Id="rId313" Target="https://www.aemc.gov.au/news-centre/data-portal/annual-market-performance-review/2020" TargetMode="External" /><Relationship Type="http://schemas.openxmlformats.org/officeDocument/2006/relationships/hyperlink" Id="rId399" Target="https://www.aemc.gov.au/sites/default/files/2018-03/Advice from AEMO - Primary frequency control.PDF" TargetMode="External" /><Relationship Type="http://schemas.openxmlformats.org/officeDocument/2006/relationships/hyperlink" Id="rId554" Target="https://www.aemc.gov.au/sites/default/files/2019-11/Rule Change SubmissionERC0274 - TasNetworks - 20191031.PDF" TargetMode="External" /><Relationship Type="http://schemas.openxmlformats.org/officeDocument/2006/relationships/hyperlink" Id="rId329" Target="https://www.aemc.gov.au/sites/default/files/2020-08/Updated%20Amended%20Panel%20RERT%20Guidelines%20-%2018%20August%202020%20-%20Final%20for%20publication_0.pdf" TargetMode="External" /><Relationship Type="http://schemas.openxmlformats.org/officeDocument/2006/relationships/hyperlink" Id="rId311" Target="https://www.aemc.gov.au/sites/default/files/2021-01/Reserve%20services%20directions%20paper%20-%205.01.2021%20-%20FINAL.pdf" TargetMode="External" /><Relationship Type="http://schemas.openxmlformats.org/officeDocument/2006/relationships/hyperlink" Id="rId307" Target="https://www.aemc.gov.au/sites/default/files/2022-05/ERC0332%20-%20Updating%20Short%20Term%20PASA%20-%20Final%20determination.pdf" TargetMode="External" /><Relationship Type="http://schemas.openxmlformats.org/officeDocument/2006/relationships/hyperlink" Id="rId327" Target="https://www.aemc.gov.au/sites/default/files/2022-09/2022%20RSS%20Review%20Final%20Report%20%281%29.pdf" TargetMode="External" /><Relationship Type="http://schemas.openxmlformats.org/officeDocument/2006/relationships/hyperlink" Id="rId321" Target="https://www.aemc.gov.au/sites/default/files/content/0bcaf68c-8449-4ce0-aaa6-da223ca6e01c/Final-Determination-ERC0203-Non-scheduled-generation-and-load.pdf" TargetMode="External" /><Relationship Type="http://schemas.openxmlformats.org/officeDocument/2006/relationships/hyperlink" Id="rId323" Target="https://www.aemc.gov.au/sites/default/files/content/68cb8114-113d-4d96-91dc-5cb4b0f9e0ae/ERC0186-DRM-and-ASU-Final-rule-determination-FINAL.PDF" TargetMode="External" /><Relationship Type="http://schemas.openxmlformats.org/officeDocument/2006/relationships/hyperlink" Id="rId325" Target="https://www.aemc.gov.au/sites/default/files/content/815f277c-a015-47d0-bc13-ce3d5faaf96d/Final-Determination.pdf" TargetMode="External" /><Relationship Type="http://schemas.openxmlformats.org/officeDocument/2006/relationships/hyperlink" Id="rId317" Target="https://www.aemc.gov.au/sites/default/files/documents/final_determination_-_short_term_forward_market_-_clean.pdf" TargetMode="External" /><Relationship Type="http://schemas.openxmlformats.org/officeDocument/2006/relationships/hyperlink" Id="rId521" Target="https://www.aemo.com.au/-/media/Files/Electricity/NEM/Planning_and_Forecasting/Inputs-Assumptions-Methodologies/2019/GHD-AEMO-revised---2018-19-Costs_and_Technical_Parameter.xlsb" TargetMode="External" /><Relationship Type="http://schemas.openxmlformats.org/officeDocument/2006/relationships/hyperlink" Id="rId628" Target="https://www.aemo.com.au/-/media/Files/Electricity/NEM/Security_and_Reliability/Reports/2017/20170904-GE-RoCoF-Advisory" TargetMode="External" /><Relationship Type="http://schemas.openxmlformats.org/officeDocument/2006/relationships/hyperlink" Id="rId37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414" Target="https://www.aemo.com.au/-/media/files/electricity/nem/planning_and_forecasting/pasa/stpasa-process-description.pdf" TargetMode="External" /><Relationship Type="http://schemas.openxmlformats.org/officeDocument/2006/relationships/hyperlink" Id="rId344" Target="https://www.aemo.com.au/-/media/files/electricity/nem/security_and_reliability/congestion-information/transfer-limit-advice-system-strength.pdf?la=en" TargetMode="External" /><Relationship Type="http://schemas.openxmlformats.org/officeDocument/2006/relationships/hyperlink" Id="rId362" Target="https://www.aemo.com.au/-/media/files/electricity/nem/security_and_reliability/dispatch/policy_and_process/pre-dispatch-sensitivities.pdf" TargetMode="External" /><Relationship Type="http://schemas.openxmlformats.org/officeDocument/2006/relationships/hyperlink" Id="rId358" Target="https://www.aemo.com.au/-/media/files/electricity/nem/security_and_reliability/power_system_ops/consumer-fact-sheet.pdf" TargetMode="External" /><Relationship Type="http://schemas.openxmlformats.org/officeDocument/2006/relationships/hyperlink" Id="rId360" Target="https://www.aemo.com.au/-/media/files/electricity/nem/security_and_reliability/power_system_ops/procedures/so_op_3704-predispatch.pdf?la=en" TargetMode="External" /><Relationship Type="http://schemas.openxmlformats.org/officeDocument/2006/relationships/hyperlink" Id="rId405" Target="https://www.aemo.com.au/-/media/files/electricity/nem/security_and_reliability/power_system_ops/reserve-level-declaration-guidelines.pdf?la=en" TargetMode="External" /><Relationship Type="http://schemas.openxmlformats.org/officeDocument/2006/relationships/hyperlink" Id="rId389" Target="https://www.aemo.com.au/-/media/files/initiatives/submissions/2020/wdrm/wdrm-high-level-design-june-2020.pdf" TargetMode="External" /><Relationship Type="http://schemas.openxmlformats.org/officeDocument/2006/relationships/hyperlink" Id="rId421" Target="https://www.aer.gov.au/system/files/AER%20-%20Values%20of%20Customer%20Reliability%20Review%20-%20Final%20Report%20-%20December%202019.pdf" TargetMode="External" /><Relationship Type="http://schemas.openxmlformats.org/officeDocument/2006/relationships/hyperlink" Id="rId417" Target="https://www.aer.gov.au/system/files/State%20of%20the%20energy%20market%202022%20-%20Full%20report.pdf" TargetMode="External" /><Relationship Type="http://schemas.openxmlformats.org/officeDocument/2006/relationships/hyperlink" Id="rId297" Target="https://www.asxenergy.com.au/products/electricity_futures" TargetMode="External" /><Relationship Type="http://schemas.openxmlformats.org/officeDocument/2006/relationships/hyperlink" Id="rId696" Target="https://www.ceem.unsw.edu.au/sites/default/files/uploads/publications/VPP%20User%20Research%20-%20Final%20Report%20-%2020201127r.pdf" TargetMode="External" /><Relationship Type="http://schemas.openxmlformats.org/officeDocument/2006/relationships/hyperlink" Id="rId491" Target="https://www.climatechangeinaustralia.gov.au/media/ccia/2.2/cms_page_media/799/ESCI%20Project%20final%20report_210721.pdf" TargetMode="External" /><Relationship Type="http://schemas.openxmlformats.org/officeDocument/2006/relationships/hyperlink" Id="rId301" Target="https://www.electranet.com.au/wp-content/uploads/projects/2016/11/508986-REP-ElectraNet-Generator-Technical-And-Cost-Parameters-23July2020.pdf" TargetMode="External" /><Relationship Type="http://schemas.openxmlformats.org/officeDocument/2006/relationships/hyperlink" Id="rId494" Target="https://www.energyexemplar.com/plexos" TargetMode="External" /><Relationship Type="http://schemas.openxmlformats.org/officeDocument/2006/relationships/hyperlink" Id="rId501" Target="https://www.epexspot.com/en/marketcoupling" TargetMode="External" /><Relationship Type="http://schemas.openxmlformats.org/officeDocument/2006/relationships/hyperlink" Id="rId475" Target="https://www.epri.com/research/products/000000003002015670" TargetMode="External" /><Relationship Type="http://schemas.openxmlformats.org/officeDocument/2006/relationships/hyperlink" Id="rId524" Target="https://www.esig.energy/download/plenary-1-grid-physics-and-markets-a-non-engineers-perspective-eric-gimon/" TargetMode="External" /><Relationship Type="http://schemas.openxmlformats.org/officeDocument/2006/relationships/hyperlink" Id="rId684" Target="https://www.esig.energy/wp-content/uploads/2021/08/ESIG-Redefining-Resource-Adequacy-2021.pdf" TargetMode="External" /><Relationship Type="http://schemas.openxmlformats.org/officeDocument/2006/relationships/hyperlink" Id="rId512" Target="https://www.ferc.gov/news-events/news/ferc-staff-issues-report-energy-and-ancillary-services-market-reforms-address" TargetMode="External" /><Relationship Type="http://schemas.openxmlformats.org/officeDocument/2006/relationships/hyperlink" Id="rId561" Target="https://www.ibm.com/au-en/analytics/cplex-optimizer" TargetMode="External" /><Relationship Type="http://schemas.openxmlformats.org/officeDocument/2006/relationships/hyperlink" Id="rId563" Target="https://www.iea.org/fuels-and-technologies/energy-storage" TargetMode="External" /><Relationship Type="http://schemas.openxmlformats.org/officeDocument/2006/relationships/hyperlink" Id="rId636" Target="https://www.monitoringanalytics.com/reports/PJM_State_of_the_Market/2021.shtml" TargetMode="External" /><Relationship Type="http://schemas.openxmlformats.org/officeDocument/2006/relationships/hyperlink" Id="rId644" Target="https://www.nerc.com/AboutNERC/keyplayers/PublishingImages/NERC%20Interconnections.pdf" TargetMode="External" /><Relationship Type="http://schemas.openxmlformats.org/officeDocument/2006/relationships/hyperlink" Id="rId646" Target="https://www.nerc.com/pa/RAPA/ra/Reliability%20Assessments%20DL/NERC_SRA_2022.pdf" TargetMode="External" /><Relationship Type="http://schemas.openxmlformats.org/officeDocument/2006/relationships/hyperlink" Id="rId489" Target="https://www.projectenergyconnect.com.au/index.html" TargetMode="External" /><Relationship Type="http://schemas.openxmlformats.org/officeDocument/2006/relationships/hyperlink" Id="rId528" Target="https://www.researchgate.net/publication/329798805" TargetMode="External" /><Relationship Type="http://schemas.openxmlformats.org/officeDocument/2006/relationships/hyperlink" Id="rId295" Target="https://www.semanticscholar.org/paper/Energy-Storage-for-Short-Term-Frequency-Stability-Akram-Mithulananthan/b74131f080c15125436fe65784135492fa318b02" TargetMode="External" /><Relationship Type="http://schemas.openxmlformats.org/officeDocument/2006/relationships/hyperlink" Id="rId742" Target="https://www.youtube.com/watch?v=LpYnKVC9hGY&amp;feature=youtu.be" TargetMode="External" /><Relationship Type="http://schemas.openxmlformats.org/officeDocument/2006/relationships/hyperlink" Id="rId97" Target="source/figures/capability_performance-04.p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2023-11-02T22:45:55Z</dcterms:created>
  <dcterms:modified xsi:type="dcterms:W3CDTF">2023-11-02T22:45:55Z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November  3,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